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943AF">
      <w:pPr>
        <w:spacing w:before="110" w:line="219" w:lineRule="auto"/>
        <w:jc w:val="center"/>
        <w:rPr>
          <w:rFonts w:hint="eastAsia" w:ascii="方正小标宋简体" w:hAnsi="方正小标宋简体" w:eastAsia="方正小标宋简体" w:cs="方正小标宋简体"/>
          <w:b w:val="0"/>
          <w:bCs w:val="0"/>
          <w:spacing w:val="6"/>
          <w:sz w:val="44"/>
          <w:szCs w:val="44"/>
          <w:lang w:eastAsia="zh-CN"/>
        </w:rPr>
      </w:pPr>
      <w:r>
        <w:rPr>
          <w:rFonts w:hint="eastAsia" w:ascii="方正小标宋简体" w:hAnsi="方正小标宋简体" w:eastAsia="方正小标宋简体" w:cs="方正小标宋简体"/>
          <w:b w:val="0"/>
          <w:bCs w:val="0"/>
          <w:spacing w:val="-6"/>
          <w:sz w:val="44"/>
          <w:szCs w:val="44"/>
          <w:lang w:eastAsia="zh-CN"/>
        </w:rPr>
        <w:t>陕西省工商联系统</w:t>
      </w:r>
      <w:r>
        <w:rPr>
          <w:rFonts w:hint="eastAsia" w:ascii="方正小标宋简体" w:hAnsi="方正小标宋简体" w:eastAsia="方正小标宋简体" w:cs="方正小标宋简体"/>
          <w:b w:val="0"/>
          <w:bCs w:val="0"/>
          <w:spacing w:val="-6"/>
          <w:sz w:val="44"/>
          <w:szCs w:val="44"/>
        </w:rPr>
        <w:t>拟</w:t>
      </w:r>
      <w:r>
        <w:rPr>
          <w:rFonts w:hint="eastAsia" w:ascii="方正小标宋简体" w:hAnsi="方正小标宋简体" w:eastAsia="方正小标宋简体" w:cs="方正小标宋简体"/>
          <w:b w:val="0"/>
          <w:bCs w:val="0"/>
          <w:spacing w:val="-6"/>
          <w:sz w:val="44"/>
          <w:szCs w:val="44"/>
          <w:lang w:eastAsia="zh-CN"/>
        </w:rPr>
        <w:t>合作</w:t>
      </w:r>
      <w:r>
        <w:rPr>
          <w:rFonts w:hint="eastAsia" w:ascii="方正小标宋简体" w:hAnsi="方正小标宋简体" w:eastAsia="方正小标宋简体" w:cs="方正小标宋简体"/>
          <w:b w:val="0"/>
          <w:bCs w:val="0"/>
          <w:spacing w:val="-6"/>
          <w:sz w:val="44"/>
          <w:szCs w:val="44"/>
        </w:rPr>
        <w:t>项目信息表</w:t>
      </w:r>
    </w:p>
    <w:p w14:paraId="1E66BA16">
      <w:pPr>
        <w:keepNext w:val="0"/>
        <w:keepLines w:val="0"/>
        <w:pageBreakBefore w:val="0"/>
        <w:widowControl/>
        <w:kinsoku w:val="0"/>
        <w:wordWrap/>
        <w:overflowPunct/>
        <w:topLinePunct w:val="0"/>
        <w:autoSpaceDE w:val="0"/>
        <w:autoSpaceDN w:val="0"/>
        <w:bidi w:val="0"/>
        <w:adjustRightInd w:val="0"/>
        <w:snapToGrid w:val="0"/>
        <w:spacing w:before="68" w:line="240" w:lineRule="auto"/>
        <w:jc w:val="both"/>
        <w:textAlignment w:val="baseline"/>
        <w:rPr>
          <w:rFonts w:hint="eastAsia" w:ascii="仿宋_GB2312" w:hAnsi="仿宋_GB2312" w:eastAsia="仿宋_GB2312" w:cs="仿宋_GB2312"/>
          <w:spacing w:val="6"/>
          <w:sz w:val="30"/>
          <w:szCs w:val="30"/>
          <w:lang w:eastAsia="zh-CN"/>
        </w:rPr>
      </w:pPr>
    </w:p>
    <w:tbl>
      <w:tblPr>
        <w:tblStyle w:val="5"/>
        <w:tblW w:w="215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1399"/>
        <w:gridCol w:w="1399"/>
        <w:gridCol w:w="1250"/>
        <w:gridCol w:w="1139"/>
        <w:gridCol w:w="8355"/>
        <w:gridCol w:w="1575"/>
        <w:gridCol w:w="1665"/>
        <w:gridCol w:w="960"/>
        <w:gridCol w:w="1245"/>
        <w:gridCol w:w="1935"/>
      </w:tblGrid>
      <w:tr w14:paraId="1BFC4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585" w:type="dxa"/>
            <w:vMerge w:val="restart"/>
            <w:tcBorders>
              <w:bottom w:val="nil"/>
            </w:tcBorders>
            <w:vAlign w:val="center"/>
          </w:tcPr>
          <w:p w14:paraId="2DF63B22">
            <w:pPr>
              <w:spacing w:before="68" w:line="221" w:lineRule="auto"/>
              <w:jc w:val="center"/>
              <w:rPr>
                <w:rFonts w:hint="eastAsia" w:ascii="黑体" w:hAnsi="黑体" w:eastAsia="黑体" w:cs="黑体"/>
                <w:sz w:val="28"/>
                <w:szCs w:val="28"/>
              </w:rPr>
            </w:pPr>
            <w:r>
              <w:rPr>
                <w:rFonts w:hint="eastAsia" w:ascii="黑体" w:hAnsi="黑体" w:eastAsia="黑体" w:cs="黑体"/>
                <w:spacing w:val="6"/>
                <w:sz w:val="28"/>
                <w:szCs w:val="28"/>
              </w:rPr>
              <w:t>序号</w:t>
            </w:r>
          </w:p>
        </w:tc>
        <w:tc>
          <w:tcPr>
            <w:tcW w:w="1399" w:type="dxa"/>
            <w:vMerge w:val="restart"/>
            <w:vAlign w:val="center"/>
          </w:tcPr>
          <w:p w14:paraId="4A64A6AB">
            <w:pPr>
              <w:spacing w:before="68" w:line="221" w:lineRule="auto"/>
              <w:jc w:val="center"/>
              <w:rPr>
                <w:rFonts w:hint="eastAsia" w:ascii="黑体" w:hAnsi="黑体" w:eastAsia="黑体" w:cs="黑体"/>
                <w:spacing w:val="6"/>
                <w:sz w:val="28"/>
                <w:szCs w:val="28"/>
                <w:lang w:eastAsia="zh-CN"/>
              </w:rPr>
            </w:pPr>
            <w:r>
              <w:rPr>
                <w:rFonts w:hint="eastAsia" w:ascii="黑体" w:hAnsi="黑体" w:eastAsia="黑体" w:cs="黑体"/>
                <w:spacing w:val="2"/>
                <w:sz w:val="28"/>
                <w:szCs w:val="28"/>
              </w:rPr>
              <w:t>企业名称</w:t>
            </w:r>
          </w:p>
        </w:tc>
        <w:tc>
          <w:tcPr>
            <w:tcW w:w="1399" w:type="dxa"/>
            <w:vMerge w:val="restart"/>
            <w:tcBorders>
              <w:bottom w:val="nil"/>
            </w:tcBorders>
            <w:vAlign w:val="center"/>
          </w:tcPr>
          <w:p w14:paraId="50CF6725">
            <w:pPr>
              <w:spacing w:before="68" w:line="220" w:lineRule="auto"/>
              <w:jc w:val="center"/>
              <w:rPr>
                <w:rFonts w:hint="eastAsia" w:ascii="黑体" w:hAnsi="黑体" w:eastAsia="黑体" w:cs="黑体"/>
                <w:sz w:val="28"/>
                <w:szCs w:val="28"/>
              </w:rPr>
            </w:pPr>
            <w:r>
              <w:rPr>
                <w:rFonts w:hint="eastAsia" w:ascii="黑体" w:hAnsi="黑体" w:eastAsia="黑体" w:cs="黑体"/>
                <w:spacing w:val="2"/>
                <w:sz w:val="28"/>
                <w:szCs w:val="28"/>
              </w:rPr>
              <w:t>项目名称</w:t>
            </w:r>
          </w:p>
        </w:tc>
        <w:tc>
          <w:tcPr>
            <w:tcW w:w="1250" w:type="dxa"/>
            <w:vMerge w:val="restart"/>
            <w:vAlign w:val="center"/>
          </w:tcPr>
          <w:p w14:paraId="07A0129C">
            <w:pPr>
              <w:pStyle w:val="6"/>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项目类型</w:t>
            </w:r>
          </w:p>
        </w:tc>
        <w:tc>
          <w:tcPr>
            <w:tcW w:w="1139" w:type="dxa"/>
            <w:vMerge w:val="restart"/>
            <w:vAlign w:val="center"/>
          </w:tcPr>
          <w:p w14:paraId="41CD845A">
            <w:pPr>
              <w:pStyle w:val="6"/>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项目</w:t>
            </w:r>
          </w:p>
          <w:p w14:paraId="5F065368">
            <w:pPr>
              <w:pStyle w:val="6"/>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所在地</w:t>
            </w:r>
          </w:p>
        </w:tc>
        <w:tc>
          <w:tcPr>
            <w:tcW w:w="8355" w:type="dxa"/>
            <w:vMerge w:val="restart"/>
            <w:tcBorders>
              <w:bottom w:val="nil"/>
            </w:tcBorders>
            <w:vAlign w:val="center"/>
          </w:tcPr>
          <w:p w14:paraId="37FDA935">
            <w:pPr>
              <w:spacing w:before="68" w:line="219" w:lineRule="auto"/>
              <w:jc w:val="center"/>
              <w:rPr>
                <w:rFonts w:hint="eastAsia" w:ascii="黑体" w:hAnsi="黑体" w:eastAsia="黑体" w:cs="黑体"/>
                <w:sz w:val="28"/>
                <w:szCs w:val="28"/>
              </w:rPr>
            </w:pPr>
            <w:r>
              <w:rPr>
                <w:rFonts w:hint="eastAsia" w:ascii="黑体" w:hAnsi="黑体" w:eastAsia="黑体" w:cs="黑体"/>
                <w:spacing w:val="3"/>
                <w:sz w:val="28"/>
                <w:szCs w:val="28"/>
              </w:rPr>
              <w:t>项目简介</w:t>
            </w:r>
          </w:p>
        </w:tc>
        <w:tc>
          <w:tcPr>
            <w:tcW w:w="1575" w:type="dxa"/>
            <w:vMerge w:val="restart"/>
            <w:vAlign w:val="center"/>
          </w:tcPr>
          <w:p w14:paraId="40FF6E42">
            <w:pPr>
              <w:pStyle w:val="6"/>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拟合作</w:t>
            </w:r>
          </w:p>
          <w:p w14:paraId="099F256E">
            <w:pPr>
              <w:pStyle w:val="6"/>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方式</w:t>
            </w:r>
          </w:p>
        </w:tc>
        <w:tc>
          <w:tcPr>
            <w:tcW w:w="1665" w:type="dxa"/>
            <w:vMerge w:val="restart"/>
            <w:tcBorders>
              <w:bottom w:val="nil"/>
            </w:tcBorders>
            <w:vAlign w:val="center"/>
          </w:tcPr>
          <w:p w14:paraId="14227F71">
            <w:pPr>
              <w:spacing w:before="183" w:line="219" w:lineRule="auto"/>
              <w:jc w:val="center"/>
              <w:rPr>
                <w:rFonts w:hint="eastAsia" w:ascii="黑体" w:hAnsi="黑体" w:eastAsia="黑体" w:cs="黑体"/>
                <w:sz w:val="28"/>
                <w:szCs w:val="28"/>
              </w:rPr>
            </w:pPr>
            <w:r>
              <w:rPr>
                <w:rFonts w:hint="eastAsia" w:ascii="黑体" w:hAnsi="黑体" w:eastAsia="黑体" w:cs="黑体"/>
                <w:spacing w:val="-2"/>
                <w:sz w:val="28"/>
                <w:szCs w:val="28"/>
                <w:lang w:eastAsia="zh-CN"/>
              </w:rPr>
              <w:t>拟</w:t>
            </w:r>
            <w:r>
              <w:rPr>
                <w:rFonts w:hint="eastAsia" w:ascii="黑体" w:hAnsi="黑体" w:eastAsia="黑体" w:cs="黑体"/>
                <w:spacing w:val="-2"/>
                <w:sz w:val="28"/>
                <w:szCs w:val="28"/>
              </w:rPr>
              <w:t>合作总额</w:t>
            </w:r>
          </w:p>
          <w:p w14:paraId="37EAD67A">
            <w:pPr>
              <w:spacing w:before="31" w:line="220" w:lineRule="auto"/>
              <w:jc w:val="center"/>
              <w:rPr>
                <w:rFonts w:hint="eastAsia" w:ascii="黑体" w:hAnsi="黑体" w:eastAsia="黑体" w:cs="黑体"/>
                <w:sz w:val="28"/>
                <w:szCs w:val="28"/>
              </w:rPr>
            </w:pPr>
            <w:r>
              <w:rPr>
                <w:rFonts w:hint="eastAsia" w:ascii="黑体" w:hAnsi="黑体" w:eastAsia="黑体" w:cs="黑体"/>
                <w:spacing w:val="11"/>
                <w:sz w:val="28"/>
                <w:szCs w:val="28"/>
              </w:rPr>
              <w:t>(</w:t>
            </w:r>
            <w:r>
              <w:rPr>
                <w:rFonts w:hint="eastAsia" w:ascii="黑体" w:hAnsi="黑体" w:eastAsia="黑体" w:cs="黑体"/>
                <w:spacing w:val="11"/>
                <w:sz w:val="28"/>
                <w:szCs w:val="28"/>
                <w:lang w:eastAsia="zh-CN"/>
              </w:rPr>
              <w:t>万</w:t>
            </w:r>
            <w:r>
              <w:rPr>
                <w:rFonts w:hint="eastAsia" w:ascii="黑体" w:hAnsi="黑体" w:eastAsia="黑体" w:cs="黑体"/>
                <w:spacing w:val="11"/>
                <w:sz w:val="28"/>
                <w:szCs w:val="28"/>
              </w:rPr>
              <w:t>元)</w:t>
            </w:r>
          </w:p>
        </w:tc>
        <w:tc>
          <w:tcPr>
            <w:tcW w:w="4140" w:type="dxa"/>
            <w:gridSpan w:val="3"/>
            <w:vAlign w:val="center"/>
          </w:tcPr>
          <w:p w14:paraId="312E8D6C">
            <w:pPr>
              <w:spacing w:before="31" w:line="220" w:lineRule="auto"/>
              <w:jc w:val="center"/>
              <w:rPr>
                <w:rFonts w:hint="eastAsia" w:ascii="黑体" w:hAnsi="黑体" w:eastAsia="黑体" w:cs="黑体"/>
                <w:spacing w:val="11"/>
                <w:sz w:val="28"/>
                <w:szCs w:val="28"/>
                <w:lang w:eastAsia="zh-CN"/>
              </w:rPr>
            </w:pPr>
            <w:r>
              <w:rPr>
                <w:rFonts w:hint="eastAsia" w:ascii="黑体" w:hAnsi="黑体" w:eastAsia="黑体" w:cs="黑体"/>
                <w:spacing w:val="11"/>
                <w:sz w:val="28"/>
                <w:szCs w:val="28"/>
                <w:lang w:eastAsia="zh-CN"/>
              </w:rPr>
              <w:t>企业联系方式</w:t>
            </w:r>
          </w:p>
        </w:tc>
      </w:tr>
      <w:tr w14:paraId="2380A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585" w:type="dxa"/>
            <w:vMerge w:val="continue"/>
            <w:vAlign w:val="center"/>
          </w:tcPr>
          <w:p w14:paraId="71728E68">
            <w:pPr>
              <w:spacing w:before="119" w:line="219" w:lineRule="auto"/>
              <w:ind w:left="155"/>
              <w:jc w:val="center"/>
              <w:rPr>
                <w:rFonts w:hint="eastAsia" w:ascii="黑体" w:hAnsi="黑体" w:eastAsia="黑体" w:cs="黑体"/>
                <w:sz w:val="28"/>
                <w:szCs w:val="28"/>
              </w:rPr>
            </w:pPr>
          </w:p>
        </w:tc>
        <w:tc>
          <w:tcPr>
            <w:tcW w:w="1399" w:type="dxa"/>
            <w:vMerge w:val="continue"/>
            <w:vAlign w:val="center"/>
          </w:tcPr>
          <w:p w14:paraId="15CBC2EC">
            <w:pPr>
              <w:spacing w:before="119" w:line="219" w:lineRule="auto"/>
              <w:ind w:left="155"/>
              <w:jc w:val="center"/>
              <w:rPr>
                <w:rFonts w:hint="eastAsia" w:ascii="黑体" w:hAnsi="黑体" w:eastAsia="黑体" w:cs="黑体"/>
                <w:sz w:val="28"/>
                <w:szCs w:val="28"/>
              </w:rPr>
            </w:pPr>
          </w:p>
        </w:tc>
        <w:tc>
          <w:tcPr>
            <w:tcW w:w="1399" w:type="dxa"/>
            <w:vMerge w:val="continue"/>
            <w:vAlign w:val="center"/>
          </w:tcPr>
          <w:p w14:paraId="7B6CCEC2">
            <w:pPr>
              <w:spacing w:before="119" w:line="219" w:lineRule="auto"/>
              <w:ind w:left="155"/>
              <w:jc w:val="center"/>
              <w:rPr>
                <w:rFonts w:hint="eastAsia" w:ascii="黑体" w:hAnsi="黑体" w:eastAsia="黑体" w:cs="黑体"/>
                <w:sz w:val="28"/>
                <w:szCs w:val="28"/>
              </w:rPr>
            </w:pPr>
          </w:p>
        </w:tc>
        <w:tc>
          <w:tcPr>
            <w:tcW w:w="1250" w:type="dxa"/>
            <w:vMerge w:val="continue"/>
            <w:vAlign w:val="center"/>
          </w:tcPr>
          <w:p w14:paraId="3AD43D4F">
            <w:pPr>
              <w:spacing w:before="119" w:line="219" w:lineRule="auto"/>
              <w:ind w:left="155"/>
              <w:jc w:val="center"/>
              <w:rPr>
                <w:rFonts w:hint="eastAsia" w:ascii="黑体" w:hAnsi="黑体" w:eastAsia="黑体" w:cs="黑体"/>
                <w:sz w:val="28"/>
                <w:szCs w:val="28"/>
              </w:rPr>
            </w:pPr>
          </w:p>
        </w:tc>
        <w:tc>
          <w:tcPr>
            <w:tcW w:w="1139" w:type="dxa"/>
            <w:vMerge w:val="continue"/>
            <w:vAlign w:val="center"/>
          </w:tcPr>
          <w:p w14:paraId="369D43BF">
            <w:pPr>
              <w:spacing w:before="119" w:line="219" w:lineRule="auto"/>
              <w:ind w:left="155"/>
              <w:jc w:val="center"/>
              <w:rPr>
                <w:rFonts w:hint="eastAsia" w:ascii="黑体" w:hAnsi="黑体" w:eastAsia="黑体" w:cs="黑体"/>
                <w:sz w:val="28"/>
                <w:szCs w:val="28"/>
              </w:rPr>
            </w:pPr>
          </w:p>
        </w:tc>
        <w:tc>
          <w:tcPr>
            <w:tcW w:w="8355" w:type="dxa"/>
            <w:vMerge w:val="continue"/>
            <w:vAlign w:val="center"/>
          </w:tcPr>
          <w:p w14:paraId="43D280BD">
            <w:pPr>
              <w:spacing w:before="119" w:line="219" w:lineRule="auto"/>
              <w:ind w:left="155"/>
              <w:jc w:val="center"/>
              <w:rPr>
                <w:rFonts w:hint="eastAsia" w:ascii="黑体" w:hAnsi="黑体" w:eastAsia="黑体" w:cs="黑体"/>
                <w:sz w:val="28"/>
                <w:szCs w:val="28"/>
              </w:rPr>
            </w:pPr>
          </w:p>
        </w:tc>
        <w:tc>
          <w:tcPr>
            <w:tcW w:w="1575" w:type="dxa"/>
            <w:vMerge w:val="continue"/>
            <w:vAlign w:val="center"/>
          </w:tcPr>
          <w:p w14:paraId="0E23C12E">
            <w:pPr>
              <w:spacing w:before="119" w:line="219" w:lineRule="auto"/>
              <w:ind w:left="155"/>
              <w:jc w:val="center"/>
              <w:rPr>
                <w:rFonts w:hint="eastAsia" w:ascii="黑体" w:hAnsi="黑体" w:eastAsia="黑体" w:cs="黑体"/>
                <w:sz w:val="28"/>
                <w:szCs w:val="28"/>
              </w:rPr>
            </w:pPr>
          </w:p>
        </w:tc>
        <w:tc>
          <w:tcPr>
            <w:tcW w:w="1665" w:type="dxa"/>
            <w:vMerge w:val="continue"/>
            <w:vAlign w:val="center"/>
          </w:tcPr>
          <w:p w14:paraId="368EF797">
            <w:pPr>
              <w:spacing w:before="119" w:line="219" w:lineRule="auto"/>
              <w:ind w:left="155"/>
              <w:jc w:val="center"/>
              <w:rPr>
                <w:rFonts w:hint="eastAsia" w:ascii="黑体" w:hAnsi="黑体" w:eastAsia="黑体" w:cs="黑体"/>
                <w:sz w:val="28"/>
                <w:szCs w:val="28"/>
              </w:rPr>
            </w:pPr>
          </w:p>
        </w:tc>
        <w:tc>
          <w:tcPr>
            <w:tcW w:w="960" w:type="dxa"/>
            <w:vAlign w:val="center"/>
          </w:tcPr>
          <w:p w14:paraId="0327538F">
            <w:pPr>
              <w:spacing w:before="119" w:line="219" w:lineRule="auto"/>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姓名</w:t>
            </w:r>
          </w:p>
        </w:tc>
        <w:tc>
          <w:tcPr>
            <w:tcW w:w="1245" w:type="dxa"/>
            <w:vAlign w:val="center"/>
          </w:tcPr>
          <w:p w14:paraId="0C0AAD77">
            <w:pPr>
              <w:spacing w:before="119" w:line="219" w:lineRule="auto"/>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职务</w:t>
            </w:r>
          </w:p>
        </w:tc>
        <w:tc>
          <w:tcPr>
            <w:tcW w:w="1935" w:type="dxa"/>
            <w:vAlign w:val="center"/>
          </w:tcPr>
          <w:p w14:paraId="164D814B">
            <w:pPr>
              <w:spacing w:before="119" w:line="219" w:lineRule="auto"/>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联系方式</w:t>
            </w:r>
          </w:p>
        </w:tc>
      </w:tr>
      <w:tr w14:paraId="1D1A4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85" w:type="dxa"/>
            <w:vAlign w:val="center"/>
          </w:tcPr>
          <w:p w14:paraId="19A0B86D">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399" w:type="dxa"/>
            <w:shd w:val="clear" w:color="auto" w:fill="auto"/>
            <w:vAlign w:val="center"/>
          </w:tcPr>
          <w:p w14:paraId="4B5D18E2">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西安纵横资讯有限责任公司</w:t>
            </w:r>
          </w:p>
        </w:tc>
        <w:tc>
          <w:tcPr>
            <w:tcW w:w="1399" w:type="dxa"/>
            <w:shd w:val="clear" w:color="auto" w:fill="auto"/>
            <w:vAlign w:val="center"/>
          </w:tcPr>
          <w:p w14:paraId="5D21F723">
            <w:pPr>
              <w:pStyle w:val="6"/>
              <w:keepNext w:val="0"/>
              <w:keepLines w:val="0"/>
              <w:pageBreakBefore w:val="0"/>
              <w:wordWrap/>
              <w:overflowPunct/>
              <w:topLinePunct w:val="0"/>
              <w:bidi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智慧型医用物资SPD供应链</w:t>
            </w:r>
          </w:p>
          <w:p w14:paraId="1D076E91">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管理服务</w:t>
            </w:r>
          </w:p>
        </w:tc>
        <w:tc>
          <w:tcPr>
            <w:tcW w:w="1250" w:type="dxa"/>
            <w:shd w:val="clear" w:color="auto" w:fill="auto"/>
            <w:vAlign w:val="center"/>
          </w:tcPr>
          <w:p w14:paraId="2C08A6DB">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lang w:eastAsia="zh-CN"/>
              </w:rPr>
              <w:t>重点产业链配套、</w:t>
            </w:r>
            <w:r>
              <w:rPr>
                <w:rFonts w:hint="eastAsia" w:ascii="仿宋" w:hAnsi="仿宋" w:eastAsia="仿宋" w:cs="仿宋"/>
                <w:i w:val="0"/>
                <w:iCs w:val="0"/>
                <w:caps w:val="0"/>
                <w:spacing w:val="8"/>
                <w:sz w:val="21"/>
                <w:szCs w:val="21"/>
                <w:shd w:val="clear" w:fill="FFFFFF"/>
              </w:rPr>
              <w:t>软件和信息技术服务</w:t>
            </w:r>
          </w:p>
        </w:tc>
        <w:tc>
          <w:tcPr>
            <w:tcW w:w="1139" w:type="dxa"/>
            <w:shd w:val="clear" w:color="auto" w:fill="auto"/>
            <w:vAlign w:val="center"/>
          </w:tcPr>
          <w:p w14:paraId="23CB5DAF">
            <w:pPr>
              <w:pStyle w:val="6"/>
              <w:keepNext w:val="0"/>
              <w:keepLines w:val="0"/>
              <w:pageBreakBefore w:val="0"/>
              <w:wordWrap/>
              <w:overflowPunct/>
              <w:topLinePunct w:val="0"/>
              <w:bidi w:val="0"/>
              <w:spacing w:line="300" w:lineRule="exact"/>
              <w:jc w:val="center"/>
              <w:rPr>
                <w:rFonts w:hint="eastAsia" w:ascii="仿宋" w:hAnsi="仿宋" w:eastAsia="仿宋" w:cs="仿宋"/>
                <w:i w:val="0"/>
                <w:iCs w:val="0"/>
                <w:caps w:val="0"/>
                <w:spacing w:val="8"/>
                <w:sz w:val="21"/>
                <w:szCs w:val="21"/>
                <w:shd w:val="clear" w:fill="FFFFFF"/>
                <w:lang w:eastAsia="zh-CN"/>
              </w:rPr>
            </w:pPr>
            <w:r>
              <w:rPr>
                <w:rFonts w:hint="eastAsia" w:ascii="仿宋" w:hAnsi="仿宋" w:eastAsia="仿宋" w:cs="仿宋"/>
                <w:i w:val="0"/>
                <w:iCs w:val="0"/>
                <w:caps w:val="0"/>
                <w:spacing w:val="8"/>
                <w:sz w:val="21"/>
                <w:szCs w:val="21"/>
                <w:shd w:val="clear" w:fill="FFFFFF"/>
                <w:lang w:eastAsia="zh-CN"/>
              </w:rPr>
              <w:t>西安市</w:t>
            </w:r>
          </w:p>
        </w:tc>
        <w:tc>
          <w:tcPr>
            <w:tcW w:w="8355" w:type="dxa"/>
            <w:shd w:val="clear" w:color="auto" w:fill="auto"/>
            <w:vAlign w:val="center"/>
          </w:tcPr>
          <w:p w14:paraId="30F3B966">
            <w:pPr>
              <w:keepNext w:val="0"/>
              <w:keepLines w:val="0"/>
              <w:pageBreakBefore w:val="0"/>
              <w:wordWrap/>
              <w:overflowPunct/>
              <w:topLinePunct w:val="0"/>
              <w:bidi w:val="0"/>
              <w:spacing w:line="300" w:lineRule="exact"/>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SPD是一种面向医疗行业的精细化供应链管理模式，通过信息化、智能化和流程再造，广泛应用于医疗行业的耗材、药品和器械管理领域，实现物资从采购到终端使用的高效协同管理。该系统以服务临床为宗旨，以降本增效为目的，以物流信息技术为工具，通过合理使用社会资源，重构医院供应链，实现精细化、智能化、零库存的管理目标，并最终实现：</w:t>
            </w:r>
          </w:p>
          <w:p w14:paraId="48434E3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1.医用耗材中心库、二三级库精细化管理；</w:t>
            </w:r>
          </w:p>
          <w:p w14:paraId="442129F5">
            <w:pPr>
              <w:keepNext w:val="0"/>
              <w:keepLines w:val="0"/>
              <w:pageBreakBefore w:val="0"/>
              <w:numPr>
                <w:ilvl w:val="0"/>
                <w:numId w:val="0"/>
              </w:numPr>
              <w:wordWrap/>
              <w:overflowPunct/>
              <w:topLinePunct w:val="0"/>
              <w:bidi w:val="0"/>
              <w:spacing w:line="300" w:lineRule="exact"/>
              <w:ind w:lef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2.支持按耗材UDI、患者、医生、科室、订单、发票等维度，快速追溯全流程记录（采购、入库、配送、消耗、计费、关联患者/项目、操作人、时间）；</w:t>
            </w:r>
          </w:p>
          <w:p w14:paraId="2F351869">
            <w:pPr>
              <w:keepNext w:val="0"/>
              <w:keepLines w:val="0"/>
              <w:pageBreakBefore w:val="0"/>
              <w:numPr>
                <w:ilvl w:val="0"/>
                <w:numId w:val="0"/>
              </w:numPr>
              <w:wordWrap/>
              <w:overflowPunct/>
              <w:topLinePunct w:val="0"/>
              <w:bidi w:val="0"/>
              <w:spacing w:line="300" w:lineRule="exact"/>
              <w:ind w:lef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3.供应商及耗材资质电子化管理；</w:t>
            </w:r>
          </w:p>
          <w:p w14:paraId="5B2F0152">
            <w:pPr>
              <w:keepNext w:val="0"/>
              <w:keepLines w:val="0"/>
              <w:pageBreakBefore w:val="0"/>
              <w:numPr>
                <w:ilvl w:val="0"/>
                <w:numId w:val="0"/>
              </w:numPr>
              <w:wordWrap/>
              <w:overflowPunct/>
              <w:topLinePunct w:val="0"/>
              <w:bidi w:val="0"/>
              <w:spacing w:line="300" w:lineRule="exact"/>
              <w:ind w:lef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4.医用耗材“用后结算”，耗材零库存，减少资金占用；</w:t>
            </w:r>
          </w:p>
          <w:p w14:paraId="1DCE9F12">
            <w:pPr>
              <w:keepNext w:val="0"/>
              <w:keepLines w:val="0"/>
              <w:pageBreakBefore w:val="0"/>
              <w:numPr>
                <w:ilvl w:val="0"/>
                <w:numId w:val="0"/>
              </w:numPr>
              <w:wordWrap/>
              <w:overflowPunct/>
              <w:topLinePunct w:val="0"/>
              <w:bidi w:val="0"/>
              <w:spacing w:line="300" w:lineRule="exact"/>
              <w:ind w:lef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5.集采量在院执行进度管理。</w:t>
            </w:r>
          </w:p>
          <w:p w14:paraId="2CD1C4DF">
            <w:pPr>
              <w:keepNext w:val="0"/>
              <w:keepLines w:val="0"/>
              <w:pageBreakBefore w:val="0"/>
              <w:wordWrap/>
              <w:overflowPunct/>
              <w:topLinePunct w:val="0"/>
              <w:bidi w:val="0"/>
              <w:spacing w:line="300" w:lineRule="exact"/>
              <w:jc w:val="both"/>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lang w:val="en-US" w:eastAsia="zh-CN"/>
              </w:rPr>
              <w:t>在充分保障医院物资规范化管理和安全使用的同时，实现医用物资“零库存”，降低医院运营成本，提高医院运营效能和监管效能。</w:t>
            </w:r>
          </w:p>
        </w:tc>
        <w:tc>
          <w:tcPr>
            <w:tcW w:w="1575" w:type="dxa"/>
            <w:shd w:val="clear" w:color="auto" w:fill="auto"/>
            <w:vAlign w:val="center"/>
          </w:tcPr>
          <w:p w14:paraId="2C321D74">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寻求客户资源、提供技术支持、代理运营管理</w:t>
            </w:r>
          </w:p>
        </w:tc>
        <w:tc>
          <w:tcPr>
            <w:tcW w:w="1665" w:type="dxa"/>
            <w:shd w:val="clear" w:color="auto" w:fill="auto"/>
            <w:vAlign w:val="center"/>
          </w:tcPr>
          <w:p w14:paraId="33F95239">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800-1500</w:t>
            </w:r>
          </w:p>
        </w:tc>
        <w:tc>
          <w:tcPr>
            <w:tcW w:w="960" w:type="dxa"/>
            <w:shd w:val="clear" w:color="auto" w:fill="auto"/>
            <w:vAlign w:val="center"/>
          </w:tcPr>
          <w:p w14:paraId="61F3104D">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eastAsia="zh-CN"/>
              </w:rPr>
              <w:t>朱红艳</w:t>
            </w:r>
          </w:p>
        </w:tc>
        <w:tc>
          <w:tcPr>
            <w:tcW w:w="1245" w:type="dxa"/>
            <w:shd w:val="clear" w:color="auto" w:fill="auto"/>
            <w:vAlign w:val="center"/>
          </w:tcPr>
          <w:p w14:paraId="5CC8F887">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eastAsia="zh-CN"/>
              </w:rPr>
              <w:t>商务经理</w:t>
            </w:r>
          </w:p>
        </w:tc>
        <w:tc>
          <w:tcPr>
            <w:tcW w:w="1935" w:type="dxa"/>
            <w:shd w:val="clear" w:color="auto" w:fill="auto"/>
            <w:vAlign w:val="center"/>
          </w:tcPr>
          <w:p w14:paraId="0DBE92F7">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rPr>
              <w:t>18009235716</w:t>
            </w:r>
          </w:p>
        </w:tc>
      </w:tr>
      <w:tr w14:paraId="70D90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585" w:type="dxa"/>
            <w:vAlign w:val="center"/>
          </w:tcPr>
          <w:p w14:paraId="646AFFE3">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399" w:type="dxa"/>
            <w:vAlign w:val="center"/>
          </w:tcPr>
          <w:p w14:paraId="0F1AE44D">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宁波维创柔性电子技术有限公司</w:t>
            </w:r>
          </w:p>
        </w:tc>
        <w:tc>
          <w:tcPr>
            <w:tcW w:w="1399" w:type="dxa"/>
            <w:vAlign w:val="center"/>
          </w:tcPr>
          <w:p w14:paraId="089686AB">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关于电子级树脂、浆料的开发</w:t>
            </w:r>
          </w:p>
        </w:tc>
        <w:tc>
          <w:tcPr>
            <w:tcW w:w="1250" w:type="dxa"/>
            <w:vAlign w:val="center"/>
          </w:tcPr>
          <w:p w14:paraId="548B8973">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重点产业链配套</w:t>
            </w:r>
          </w:p>
        </w:tc>
        <w:tc>
          <w:tcPr>
            <w:tcW w:w="1139" w:type="dxa"/>
            <w:vAlign w:val="center"/>
          </w:tcPr>
          <w:p w14:paraId="16BB4684">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lang w:eastAsia="zh-CN"/>
              </w:rPr>
            </w:pPr>
            <w:r>
              <w:rPr>
                <w:rFonts w:hint="eastAsia" w:ascii="仿宋" w:hAnsi="仿宋" w:eastAsia="仿宋" w:cs="仿宋"/>
                <w:sz w:val="21"/>
                <w:szCs w:val="21"/>
                <w:lang w:eastAsia="zh-CN"/>
              </w:rPr>
              <w:t>西安市</w:t>
            </w:r>
          </w:p>
        </w:tc>
        <w:tc>
          <w:tcPr>
            <w:tcW w:w="8355" w:type="dxa"/>
            <w:vAlign w:val="center"/>
          </w:tcPr>
          <w:p w14:paraId="7330A50A">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 w:hAnsi="仿宋" w:eastAsia="仿宋" w:cs="仿宋"/>
                <w:sz w:val="21"/>
                <w:szCs w:val="21"/>
              </w:rPr>
            </w:pPr>
            <w:r>
              <w:rPr>
                <w:rFonts w:hint="eastAsia" w:ascii="仿宋" w:hAnsi="仿宋" w:eastAsia="仿宋" w:cs="仿宋"/>
                <w:sz w:val="21"/>
                <w:szCs w:val="21"/>
              </w:rPr>
              <w:t>聚焦高端电子元器件国产替代</w:t>
            </w:r>
            <w:r>
              <w:rPr>
                <w:rFonts w:hint="eastAsia" w:ascii="仿宋" w:hAnsi="仿宋" w:eastAsia="仿宋" w:cs="仿宋"/>
                <w:sz w:val="21"/>
                <w:szCs w:val="21"/>
                <w:lang w:eastAsia="zh-CN"/>
              </w:rPr>
              <w:t>，</w:t>
            </w:r>
            <w:r>
              <w:rPr>
                <w:rFonts w:hint="eastAsia" w:ascii="仿宋" w:hAnsi="仿宋" w:eastAsia="仿宋" w:cs="仿宋"/>
                <w:sz w:val="21"/>
                <w:szCs w:val="21"/>
              </w:rPr>
              <w:t>实现电子级树脂的全面国产化。</w:t>
            </w:r>
          </w:p>
        </w:tc>
        <w:tc>
          <w:tcPr>
            <w:tcW w:w="1575" w:type="dxa"/>
            <w:vAlign w:val="center"/>
          </w:tcPr>
          <w:p w14:paraId="25DCFF9F">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投资入股</w:t>
            </w:r>
          </w:p>
        </w:tc>
        <w:tc>
          <w:tcPr>
            <w:tcW w:w="1665" w:type="dxa"/>
            <w:vAlign w:val="center"/>
          </w:tcPr>
          <w:p w14:paraId="5E357B62">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1000</w:t>
            </w:r>
          </w:p>
        </w:tc>
        <w:tc>
          <w:tcPr>
            <w:tcW w:w="960" w:type="dxa"/>
            <w:vAlign w:val="center"/>
          </w:tcPr>
          <w:p w14:paraId="5B3AD353">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lang w:eastAsia="zh-CN"/>
              </w:rPr>
            </w:pPr>
            <w:r>
              <w:rPr>
                <w:rFonts w:hint="eastAsia" w:ascii="仿宋" w:hAnsi="仿宋" w:eastAsia="仿宋" w:cs="仿宋"/>
                <w:sz w:val="21"/>
                <w:szCs w:val="21"/>
                <w:lang w:eastAsia="zh-CN"/>
              </w:rPr>
              <w:t>王凯敏</w:t>
            </w:r>
          </w:p>
        </w:tc>
        <w:tc>
          <w:tcPr>
            <w:tcW w:w="1245" w:type="dxa"/>
            <w:vAlign w:val="center"/>
          </w:tcPr>
          <w:p w14:paraId="660AF9C1">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lang w:eastAsia="zh-CN"/>
              </w:rPr>
            </w:pPr>
            <w:r>
              <w:rPr>
                <w:rFonts w:hint="eastAsia" w:ascii="仿宋" w:hAnsi="仿宋" w:eastAsia="仿宋" w:cs="仿宋"/>
                <w:sz w:val="21"/>
                <w:szCs w:val="21"/>
                <w:lang w:eastAsia="zh-CN"/>
              </w:rPr>
              <w:t>业务经理</w:t>
            </w:r>
          </w:p>
        </w:tc>
        <w:tc>
          <w:tcPr>
            <w:tcW w:w="1935" w:type="dxa"/>
            <w:vAlign w:val="center"/>
          </w:tcPr>
          <w:p w14:paraId="3FDA035F">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18292078967</w:t>
            </w:r>
          </w:p>
        </w:tc>
      </w:tr>
      <w:tr w14:paraId="5B376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585" w:type="dxa"/>
            <w:vAlign w:val="center"/>
          </w:tcPr>
          <w:p w14:paraId="07034339">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399" w:type="dxa"/>
            <w:shd w:val="clear" w:color="auto" w:fill="auto"/>
            <w:vAlign w:val="center"/>
          </w:tcPr>
          <w:p w14:paraId="33A441C8">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陕西宝盛奶山羊良种培育有限公司</w:t>
            </w:r>
          </w:p>
        </w:tc>
        <w:tc>
          <w:tcPr>
            <w:tcW w:w="1399" w:type="dxa"/>
            <w:shd w:val="clear" w:color="auto" w:fill="auto"/>
            <w:vAlign w:val="center"/>
          </w:tcPr>
          <w:p w14:paraId="6EFF0B3B">
            <w:pPr>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万只规模奶山羊良种培育</w:t>
            </w:r>
          </w:p>
        </w:tc>
        <w:tc>
          <w:tcPr>
            <w:tcW w:w="1250" w:type="dxa"/>
            <w:shd w:val="clear" w:color="auto" w:fill="auto"/>
            <w:vAlign w:val="center"/>
          </w:tcPr>
          <w:p w14:paraId="6F656AFE">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重点产业链配套</w:t>
            </w:r>
          </w:p>
        </w:tc>
        <w:tc>
          <w:tcPr>
            <w:tcW w:w="1139" w:type="dxa"/>
            <w:shd w:val="clear" w:color="auto" w:fill="auto"/>
            <w:vAlign w:val="center"/>
          </w:tcPr>
          <w:p w14:paraId="20C1F04E">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宝鸡市</w:t>
            </w:r>
          </w:p>
        </w:tc>
        <w:tc>
          <w:tcPr>
            <w:tcW w:w="8355" w:type="dxa"/>
            <w:shd w:val="clear" w:color="auto" w:fill="auto"/>
            <w:vAlign w:val="center"/>
          </w:tcPr>
          <w:p w14:paraId="00592E6D">
            <w:pPr>
              <w:pStyle w:val="6"/>
              <w:keepNext w:val="0"/>
              <w:keepLines w:val="0"/>
              <w:pageBreakBefore w:val="0"/>
              <w:wordWrap/>
              <w:overflowPunct/>
              <w:topLinePunct w:val="0"/>
              <w:bidi w:val="0"/>
              <w:spacing w:line="300" w:lineRule="exact"/>
              <w:jc w:val="both"/>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项目总占地128.21亩。2023年8月完成一期主体建设，引进澳大利亚纯种萨能奶山羊480只，现已繁殖培育二代羊836只，整体存栏达1200余只。二期扩建项目，计划新建育成羊舍、羔羊舍及哺乳室、产房等5000平方米，配套园区道路、给排水、机械设备、电力系统等，提升饲喂、清粪、恒温饮水、通风喷淋等自动化系统；建设数据采集检测系统；对羊乳进行深加工，加工液态奶、乳清粉等（有关核心技术已完善）。</w:t>
            </w:r>
          </w:p>
        </w:tc>
        <w:tc>
          <w:tcPr>
            <w:tcW w:w="1575" w:type="dxa"/>
            <w:shd w:val="clear" w:color="auto" w:fill="auto"/>
            <w:vAlign w:val="center"/>
          </w:tcPr>
          <w:p w14:paraId="4655E23F">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融资、投资、股份均可</w:t>
            </w:r>
          </w:p>
        </w:tc>
        <w:tc>
          <w:tcPr>
            <w:tcW w:w="1665" w:type="dxa"/>
            <w:shd w:val="clear" w:color="auto" w:fill="auto"/>
            <w:vAlign w:val="center"/>
          </w:tcPr>
          <w:p w14:paraId="05CB3DE1">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3000</w:t>
            </w:r>
          </w:p>
        </w:tc>
        <w:tc>
          <w:tcPr>
            <w:tcW w:w="960" w:type="dxa"/>
            <w:shd w:val="clear" w:color="auto" w:fill="auto"/>
            <w:vAlign w:val="center"/>
          </w:tcPr>
          <w:p w14:paraId="33E9E399">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云国庆</w:t>
            </w:r>
          </w:p>
        </w:tc>
        <w:tc>
          <w:tcPr>
            <w:tcW w:w="1245" w:type="dxa"/>
            <w:shd w:val="clear" w:color="auto" w:fill="auto"/>
            <w:vAlign w:val="center"/>
          </w:tcPr>
          <w:p w14:paraId="415F1774">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总经理</w:t>
            </w:r>
          </w:p>
        </w:tc>
        <w:tc>
          <w:tcPr>
            <w:tcW w:w="1935" w:type="dxa"/>
            <w:shd w:val="clear" w:color="auto" w:fill="auto"/>
            <w:vAlign w:val="center"/>
          </w:tcPr>
          <w:p w14:paraId="4B63B50B">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18686029569</w:t>
            </w:r>
          </w:p>
        </w:tc>
      </w:tr>
      <w:tr w14:paraId="04329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585" w:type="dxa"/>
            <w:shd w:val="clear" w:color="auto" w:fill="auto"/>
            <w:vAlign w:val="center"/>
          </w:tcPr>
          <w:p w14:paraId="5075D7D6">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4</w:t>
            </w:r>
          </w:p>
        </w:tc>
        <w:tc>
          <w:tcPr>
            <w:tcW w:w="1399" w:type="dxa"/>
            <w:shd w:val="clear" w:color="auto" w:fill="auto"/>
            <w:vAlign w:val="center"/>
          </w:tcPr>
          <w:p w14:paraId="53720B7F">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陕西易安一帆农业科技有限责任  公司</w:t>
            </w:r>
          </w:p>
        </w:tc>
        <w:tc>
          <w:tcPr>
            <w:tcW w:w="1399" w:type="dxa"/>
            <w:shd w:val="clear" w:color="auto" w:fill="auto"/>
            <w:vAlign w:val="center"/>
          </w:tcPr>
          <w:p w14:paraId="1C996FE3">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“南鸭北养”示范项目</w:t>
            </w:r>
          </w:p>
        </w:tc>
        <w:tc>
          <w:tcPr>
            <w:tcW w:w="1250" w:type="dxa"/>
            <w:shd w:val="clear" w:color="auto" w:fill="auto"/>
            <w:vAlign w:val="center"/>
          </w:tcPr>
          <w:p w14:paraId="7FB638DC">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科技成果</w:t>
            </w:r>
          </w:p>
          <w:p w14:paraId="019C4716">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转化</w:t>
            </w:r>
          </w:p>
        </w:tc>
        <w:tc>
          <w:tcPr>
            <w:tcW w:w="1139" w:type="dxa"/>
            <w:shd w:val="clear" w:color="auto" w:fill="auto"/>
            <w:vAlign w:val="center"/>
          </w:tcPr>
          <w:p w14:paraId="2F32550E">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咸阳市</w:t>
            </w:r>
          </w:p>
        </w:tc>
        <w:tc>
          <w:tcPr>
            <w:tcW w:w="8355" w:type="dxa"/>
            <w:shd w:val="clear" w:color="auto" w:fill="auto"/>
            <w:vAlign w:val="center"/>
          </w:tcPr>
          <w:p w14:paraId="6BFC4325">
            <w:pPr>
              <w:keepNext w:val="0"/>
              <w:keepLines w:val="0"/>
              <w:pageBreakBefore w:val="0"/>
              <w:widowControl/>
              <w:suppressLineNumbers w:val="0"/>
              <w:wordWrap/>
              <w:overflowPunct/>
              <w:topLinePunct w:val="0"/>
              <w:bidi w:val="0"/>
              <w:spacing w:line="300" w:lineRule="exact"/>
              <w:jc w:val="both"/>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该项目依托湘湖实验室（农业浙江省实验室）技术体系遗传改良研究室等平台，在蛋鸭品种改良、抗逆养殖技术等方面提供支撑；浙江国伟科技作为国家高新技术企业，以绍兴鸭保种育种、精深加工优势为基础，计划推动“苹果鸭”创新养殖概念落地三原；浙江立志农业则以种畜禽生产与市场运营经验赋能产业链升级，目前该项目已经引进2万羽新鸭品种，计划在“十五五”末期把“国绍一号苹果鸭”推广到500万羽。</w:t>
            </w:r>
          </w:p>
        </w:tc>
        <w:tc>
          <w:tcPr>
            <w:tcW w:w="1575" w:type="dxa"/>
            <w:shd w:val="clear" w:color="auto" w:fill="auto"/>
            <w:vAlign w:val="center"/>
          </w:tcPr>
          <w:p w14:paraId="683754FA">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技术</w:t>
            </w:r>
          </w:p>
          <w:p w14:paraId="17BB83FA">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合作</w:t>
            </w:r>
          </w:p>
          <w:p w14:paraId="0BBBE40E">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p>
        </w:tc>
        <w:tc>
          <w:tcPr>
            <w:tcW w:w="1665" w:type="dxa"/>
            <w:shd w:val="clear" w:color="auto" w:fill="auto"/>
            <w:vAlign w:val="center"/>
          </w:tcPr>
          <w:p w14:paraId="0176D585">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1000</w:t>
            </w:r>
          </w:p>
        </w:tc>
        <w:tc>
          <w:tcPr>
            <w:tcW w:w="960" w:type="dxa"/>
            <w:shd w:val="clear" w:color="auto" w:fill="auto"/>
            <w:vAlign w:val="center"/>
          </w:tcPr>
          <w:p w14:paraId="5F0291EA">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刘玲玲</w:t>
            </w:r>
          </w:p>
        </w:tc>
        <w:tc>
          <w:tcPr>
            <w:tcW w:w="1245" w:type="dxa"/>
            <w:shd w:val="clear" w:color="auto" w:fill="auto"/>
            <w:vAlign w:val="center"/>
          </w:tcPr>
          <w:p w14:paraId="67471B22">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董事长</w:t>
            </w:r>
          </w:p>
        </w:tc>
        <w:tc>
          <w:tcPr>
            <w:tcW w:w="1935" w:type="dxa"/>
            <w:shd w:val="clear" w:color="auto" w:fill="auto"/>
            <w:vAlign w:val="center"/>
          </w:tcPr>
          <w:p w14:paraId="51A3694B">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15529905789</w:t>
            </w:r>
          </w:p>
        </w:tc>
      </w:tr>
      <w:tr w14:paraId="3666C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585" w:type="dxa"/>
            <w:shd w:val="clear" w:color="auto" w:fill="auto"/>
            <w:vAlign w:val="center"/>
          </w:tcPr>
          <w:p w14:paraId="270257D2">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5</w:t>
            </w:r>
          </w:p>
        </w:tc>
        <w:tc>
          <w:tcPr>
            <w:tcW w:w="1399" w:type="dxa"/>
            <w:shd w:val="clear" w:color="auto" w:fill="auto"/>
            <w:vAlign w:val="center"/>
          </w:tcPr>
          <w:p w14:paraId="7A9F0F2B">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国安九洲（三原）科技有限公司</w:t>
            </w:r>
          </w:p>
        </w:tc>
        <w:tc>
          <w:tcPr>
            <w:tcW w:w="1399" w:type="dxa"/>
            <w:shd w:val="clear" w:color="auto" w:fill="auto"/>
            <w:vAlign w:val="center"/>
          </w:tcPr>
          <w:p w14:paraId="2C2BA256">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军工配套特种电机研发生产项目</w:t>
            </w:r>
          </w:p>
        </w:tc>
        <w:tc>
          <w:tcPr>
            <w:tcW w:w="1250" w:type="dxa"/>
            <w:shd w:val="clear" w:color="auto" w:fill="auto"/>
            <w:vAlign w:val="center"/>
          </w:tcPr>
          <w:p w14:paraId="01450815">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科技成果</w:t>
            </w:r>
          </w:p>
          <w:p w14:paraId="025E0DF9">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转化</w:t>
            </w:r>
          </w:p>
        </w:tc>
        <w:tc>
          <w:tcPr>
            <w:tcW w:w="1139" w:type="dxa"/>
            <w:shd w:val="clear" w:color="auto" w:fill="auto"/>
            <w:vAlign w:val="center"/>
          </w:tcPr>
          <w:p w14:paraId="0D94F90C">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咸阳市</w:t>
            </w:r>
          </w:p>
        </w:tc>
        <w:tc>
          <w:tcPr>
            <w:tcW w:w="8355" w:type="dxa"/>
            <w:shd w:val="clear" w:color="auto" w:fill="auto"/>
            <w:vAlign w:val="center"/>
          </w:tcPr>
          <w:p w14:paraId="4A26828E">
            <w:pPr>
              <w:keepNext w:val="0"/>
              <w:keepLines w:val="0"/>
              <w:pageBreakBefore w:val="0"/>
              <w:widowControl/>
              <w:suppressLineNumbers w:val="0"/>
              <w:wordWrap/>
              <w:overflowPunct/>
              <w:topLinePunct w:val="0"/>
              <w:bidi w:val="0"/>
              <w:spacing w:line="300" w:lineRule="exact"/>
              <w:jc w:val="both"/>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项目占地85亩。项目内容：1、通过与航天七院和宁夏大学合作，研发有限元分析等核心算法，以及自研的绕线、封装工艺，解决微型空心杯电机具备高过载、高效率、大功率的特点满足军工领域各类弹载设备的需求。2、以优于国外产品的技术性能指标，协助航天、兵器、航空工业等部门完成国产化替代原有德国、瑞士产品的军方要求。3、自主掌握满足高过载（20000g）使用环境要求的空心电机生产工艺。电机的电气指标、外形尺寸、安装方式全面满足航空航天非常苛刻的各类应用领域，可以承受各种弹体发射时的强冲击载荷等。4、结合市场需求，理论与实践深度融合，经过理论研究、实验验证、现场测试验证、规模化应用等阶段，建立起公司独有的算法体系，并应用于目标客户，期望通过迭代研发，完成高标准的系统准确性目标，行成较强的专有技术壁垒。</w:t>
            </w:r>
          </w:p>
        </w:tc>
        <w:tc>
          <w:tcPr>
            <w:tcW w:w="1575" w:type="dxa"/>
            <w:shd w:val="clear" w:color="auto" w:fill="auto"/>
            <w:vAlign w:val="center"/>
          </w:tcPr>
          <w:p w14:paraId="13E1F519">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技术</w:t>
            </w:r>
          </w:p>
          <w:p w14:paraId="7B25BFC5">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合作</w:t>
            </w:r>
          </w:p>
        </w:tc>
        <w:tc>
          <w:tcPr>
            <w:tcW w:w="1665" w:type="dxa"/>
            <w:shd w:val="clear" w:color="auto" w:fill="auto"/>
            <w:vAlign w:val="center"/>
          </w:tcPr>
          <w:p w14:paraId="7F1BB110">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20000</w:t>
            </w:r>
          </w:p>
        </w:tc>
        <w:tc>
          <w:tcPr>
            <w:tcW w:w="960" w:type="dxa"/>
            <w:shd w:val="clear" w:color="auto" w:fill="auto"/>
            <w:vAlign w:val="center"/>
          </w:tcPr>
          <w:p w14:paraId="74D2B789">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张轶莉</w:t>
            </w:r>
          </w:p>
        </w:tc>
        <w:tc>
          <w:tcPr>
            <w:tcW w:w="1245" w:type="dxa"/>
            <w:shd w:val="clear" w:color="auto" w:fill="auto"/>
            <w:vAlign w:val="center"/>
          </w:tcPr>
          <w:p w14:paraId="2946A08A">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经理</w:t>
            </w:r>
          </w:p>
        </w:tc>
        <w:tc>
          <w:tcPr>
            <w:tcW w:w="1935" w:type="dxa"/>
            <w:shd w:val="clear" w:color="auto" w:fill="auto"/>
            <w:vAlign w:val="center"/>
          </w:tcPr>
          <w:p w14:paraId="2A55604C">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18066822343</w:t>
            </w:r>
          </w:p>
        </w:tc>
      </w:tr>
      <w:tr w14:paraId="3510E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585" w:type="dxa"/>
            <w:shd w:val="clear" w:color="auto" w:fill="auto"/>
            <w:vAlign w:val="center"/>
          </w:tcPr>
          <w:p w14:paraId="0756ED01">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6</w:t>
            </w:r>
          </w:p>
        </w:tc>
        <w:tc>
          <w:tcPr>
            <w:tcW w:w="1399" w:type="dxa"/>
            <w:shd w:val="clear" w:color="auto" w:fill="auto"/>
            <w:vAlign w:val="center"/>
          </w:tcPr>
          <w:p w14:paraId="3388AED3">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陕西东瓯电气有限公司</w:t>
            </w:r>
          </w:p>
        </w:tc>
        <w:tc>
          <w:tcPr>
            <w:tcW w:w="1399" w:type="dxa"/>
            <w:shd w:val="clear" w:color="auto" w:fill="auto"/>
            <w:vAlign w:val="center"/>
          </w:tcPr>
          <w:p w14:paraId="6D9063C2">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新能源设备智能制造生产线建设项目</w:t>
            </w:r>
          </w:p>
        </w:tc>
        <w:tc>
          <w:tcPr>
            <w:tcW w:w="1250" w:type="dxa"/>
            <w:shd w:val="clear" w:color="auto" w:fill="auto"/>
            <w:vAlign w:val="center"/>
          </w:tcPr>
          <w:p w14:paraId="3C0347E9">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重点产业链配套</w:t>
            </w:r>
          </w:p>
        </w:tc>
        <w:tc>
          <w:tcPr>
            <w:tcW w:w="1139" w:type="dxa"/>
            <w:shd w:val="clear" w:color="auto" w:fill="auto"/>
            <w:vAlign w:val="center"/>
          </w:tcPr>
          <w:p w14:paraId="4BFCE8D7">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咸阳市</w:t>
            </w:r>
          </w:p>
        </w:tc>
        <w:tc>
          <w:tcPr>
            <w:tcW w:w="8355" w:type="dxa"/>
            <w:shd w:val="clear" w:color="auto" w:fill="auto"/>
            <w:vAlign w:val="center"/>
          </w:tcPr>
          <w:p w14:paraId="02AABFB6">
            <w:pPr>
              <w:keepNext w:val="0"/>
              <w:keepLines w:val="0"/>
              <w:pageBreakBefore w:val="0"/>
              <w:widowControl/>
              <w:suppressLineNumbers w:val="0"/>
              <w:wordWrap/>
              <w:overflowPunct/>
              <w:topLinePunct w:val="0"/>
              <w:bidi w:val="0"/>
              <w:spacing w:line="300" w:lineRule="exact"/>
              <w:jc w:val="both"/>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生产高低压成套设备、高低压电气产品、输配电设备。</w:t>
            </w:r>
          </w:p>
        </w:tc>
        <w:tc>
          <w:tcPr>
            <w:tcW w:w="1575" w:type="dxa"/>
            <w:shd w:val="clear" w:color="auto" w:fill="auto"/>
            <w:vAlign w:val="center"/>
          </w:tcPr>
          <w:p w14:paraId="45A41927">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独资</w:t>
            </w:r>
          </w:p>
        </w:tc>
        <w:tc>
          <w:tcPr>
            <w:tcW w:w="1665" w:type="dxa"/>
            <w:shd w:val="clear" w:color="auto" w:fill="auto"/>
            <w:vAlign w:val="center"/>
          </w:tcPr>
          <w:p w14:paraId="2E0D5ACE">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20000</w:t>
            </w:r>
          </w:p>
        </w:tc>
        <w:tc>
          <w:tcPr>
            <w:tcW w:w="960" w:type="dxa"/>
            <w:shd w:val="clear" w:color="auto" w:fill="auto"/>
            <w:vAlign w:val="center"/>
          </w:tcPr>
          <w:p w14:paraId="6B6CA626">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郑晓余</w:t>
            </w:r>
          </w:p>
        </w:tc>
        <w:tc>
          <w:tcPr>
            <w:tcW w:w="1245" w:type="dxa"/>
            <w:shd w:val="clear" w:color="auto" w:fill="auto"/>
            <w:vAlign w:val="center"/>
          </w:tcPr>
          <w:p w14:paraId="65270A15">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总经理</w:t>
            </w:r>
          </w:p>
        </w:tc>
        <w:tc>
          <w:tcPr>
            <w:tcW w:w="1935" w:type="dxa"/>
            <w:shd w:val="clear" w:color="auto" w:fill="auto"/>
            <w:vAlign w:val="center"/>
          </w:tcPr>
          <w:p w14:paraId="5207F4B4">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13809146111</w:t>
            </w:r>
          </w:p>
        </w:tc>
      </w:tr>
      <w:tr w14:paraId="45D7C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585" w:type="dxa"/>
            <w:shd w:val="clear" w:color="auto" w:fill="auto"/>
            <w:vAlign w:val="center"/>
          </w:tcPr>
          <w:p w14:paraId="19F33C0B">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7</w:t>
            </w:r>
          </w:p>
        </w:tc>
        <w:tc>
          <w:tcPr>
            <w:tcW w:w="1399" w:type="dxa"/>
            <w:shd w:val="clear" w:color="auto" w:fill="auto"/>
            <w:vAlign w:val="center"/>
          </w:tcPr>
          <w:p w14:paraId="6DF60D00">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陕西岱朴</w:t>
            </w:r>
            <w:bookmarkStart w:id="0" w:name="_GoBack"/>
            <w:bookmarkEnd w:id="0"/>
            <w:r>
              <w:rPr>
                <w:rFonts w:hint="eastAsia" w:ascii="仿宋" w:hAnsi="仿宋" w:eastAsia="仿宋" w:cs="仿宋"/>
                <w:snapToGrid w:val="0"/>
                <w:color w:val="000000"/>
                <w:kern w:val="0"/>
                <w:sz w:val="21"/>
                <w:szCs w:val="21"/>
                <w:lang w:val="en-US" w:eastAsia="zh-CN" w:bidi="ar-SA"/>
              </w:rPr>
              <w:t>电气有限公司</w:t>
            </w:r>
          </w:p>
        </w:tc>
        <w:tc>
          <w:tcPr>
            <w:tcW w:w="1399" w:type="dxa"/>
            <w:shd w:val="clear" w:color="auto" w:fill="auto"/>
            <w:vAlign w:val="center"/>
          </w:tcPr>
          <w:p w14:paraId="207EA7D6">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高压电器产品生产项目</w:t>
            </w:r>
          </w:p>
        </w:tc>
        <w:tc>
          <w:tcPr>
            <w:tcW w:w="1250" w:type="dxa"/>
            <w:shd w:val="clear" w:color="auto" w:fill="auto"/>
            <w:vAlign w:val="center"/>
          </w:tcPr>
          <w:p w14:paraId="44893FF8">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重点产业链配套</w:t>
            </w:r>
          </w:p>
        </w:tc>
        <w:tc>
          <w:tcPr>
            <w:tcW w:w="1139" w:type="dxa"/>
            <w:shd w:val="clear" w:color="auto" w:fill="auto"/>
            <w:vAlign w:val="center"/>
          </w:tcPr>
          <w:p w14:paraId="54ABAB52">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咸阳市</w:t>
            </w:r>
          </w:p>
        </w:tc>
        <w:tc>
          <w:tcPr>
            <w:tcW w:w="8355" w:type="dxa"/>
            <w:shd w:val="clear" w:color="auto" w:fill="auto"/>
            <w:vAlign w:val="center"/>
          </w:tcPr>
          <w:p w14:paraId="62C5DE71">
            <w:pPr>
              <w:keepNext w:val="0"/>
              <w:keepLines w:val="0"/>
              <w:pageBreakBefore w:val="0"/>
              <w:widowControl/>
              <w:suppressLineNumbers w:val="0"/>
              <w:wordWrap/>
              <w:overflowPunct/>
              <w:topLinePunct w:val="0"/>
              <w:bidi w:val="0"/>
              <w:spacing w:line="300" w:lineRule="exact"/>
              <w:jc w:val="both"/>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生产用于高压电器领域的高性能纤维复合产品及专用机械。</w:t>
            </w:r>
          </w:p>
        </w:tc>
        <w:tc>
          <w:tcPr>
            <w:tcW w:w="1575" w:type="dxa"/>
            <w:shd w:val="clear" w:color="auto" w:fill="auto"/>
            <w:vAlign w:val="center"/>
          </w:tcPr>
          <w:p w14:paraId="4E3088A3">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独资</w:t>
            </w:r>
          </w:p>
        </w:tc>
        <w:tc>
          <w:tcPr>
            <w:tcW w:w="1665" w:type="dxa"/>
            <w:shd w:val="clear" w:color="auto" w:fill="auto"/>
            <w:vAlign w:val="center"/>
          </w:tcPr>
          <w:p w14:paraId="79054231">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8000</w:t>
            </w:r>
          </w:p>
        </w:tc>
        <w:tc>
          <w:tcPr>
            <w:tcW w:w="960" w:type="dxa"/>
            <w:shd w:val="clear" w:color="auto" w:fill="auto"/>
            <w:vAlign w:val="center"/>
          </w:tcPr>
          <w:p w14:paraId="0D2AD1A2">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陈分红</w:t>
            </w:r>
          </w:p>
        </w:tc>
        <w:tc>
          <w:tcPr>
            <w:tcW w:w="1245" w:type="dxa"/>
            <w:shd w:val="clear" w:color="auto" w:fill="auto"/>
            <w:vAlign w:val="center"/>
          </w:tcPr>
          <w:p w14:paraId="3B2A5E8D">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总经理</w:t>
            </w:r>
          </w:p>
        </w:tc>
        <w:tc>
          <w:tcPr>
            <w:tcW w:w="1935" w:type="dxa"/>
            <w:shd w:val="clear" w:color="auto" w:fill="auto"/>
            <w:vAlign w:val="center"/>
          </w:tcPr>
          <w:p w14:paraId="210B524B">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17392152675</w:t>
            </w:r>
          </w:p>
        </w:tc>
      </w:tr>
      <w:tr w14:paraId="303A9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585" w:type="dxa"/>
            <w:shd w:val="clear" w:color="auto" w:fill="auto"/>
            <w:vAlign w:val="center"/>
          </w:tcPr>
          <w:p w14:paraId="2D515C44">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8</w:t>
            </w:r>
          </w:p>
        </w:tc>
        <w:tc>
          <w:tcPr>
            <w:tcW w:w="1399" w:type="dxa"/>
            <w:shd w:val="clear" w:color="auto" w:fill="auto"/>
            <w:vAlign w:val="center"/>
          </w:tcPr>
          <w:p w14:paraId="48110E01">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陕西省思瑞迪工业科技有限公司</w:t>
            </w:r>
          </w:p>
        </w:tc>
        <w:tc>
          <w:tcPr>
            <w:tcW w:w="1399" w:type="dxa"/>
            <w:shd w:val="clear" w:color="auto" w:fill="auto"/>
            <w:vAlign w:val="center"/>
          </w:tcPr>
          <w:p w14:paraId="4453C3EA">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智能制造及航空军品建设</w:t>
            </w:r>
          </w:p>
          <w:p w14:paraId="3DD643F6">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项目</w:t>
            </w:r>
          </w:p>
        </w:tc>
        <w:tc>
          <w:tcPr>
            <w:tcW w:w="1250" w:type="dxa"/>
            <w:shd w:val="clear" w:color="auto" w:fill="auto"/>
            <w:vAlign w:val="center"/>
          </w:tcPr>
          <w:p w14:paraId="3F027694">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重点产业链配套</w:t>
            </w:r>
          </w:p>
        </w:tc>
        <w:tc>
          <w:tcPr>
            <w:tcW w:w="1139" w:type="dxa"/>
            <w:shd w:val="clear" w:color="auto" w:fill="auto"/>
            <w:vAlign w:val="center"/>
          </w:tcPr>
          <w:p w14:paraId="727C9787">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咸阳市</w:t>
            </w:r>
          </w:p>
        </w:tc>
        <w:tc>
          <w:tcPr>
            <w:tcW w:w="8355" w:type="dxa"/>
            <w:shd w:val="clear" w:color="auto" w:fill="auto"/>
            <w:vAlign w:val="center"/>
          </w:tcPr>
          <w:p w14:paraId="47BB92E8">
            <w:pPr>
              <w:keepNext w:val="0"/>
              <w:keepLines w:val="0"/>
              <w:pageBreakBefore w:val="0"/>
              <w:widowControl/>
              <w:suppressLineNumbers w:val="0"/>
              <w:wordWrap/>
              <w:overflowPunct/>
              <w:topLinePunct w:val="0"/>
              <w:bidi w:val="0"/>
              <w:spacing w:line="300" w:lineRule="exact"/>
              <w:jc w:val="both"/>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生产线涉及汽车、高铁、航空零部件生产加工、人工智能及军工产品等内容。</w:t>
            </w:r>
          </w:p>
        </w:tc>
        <w:tc>
          <w:tcPr>
            <w:tcW w:w="1575" w:type="dxa"/>
            <w:shd w:val="clear" w:color="auto" w:fill="auto"/>
            <w:vAlign w:val="center"/>
          </w:tcPr>
          <w:p w14:paraId="17853204">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独资</w:t>
            </w:r>
          </w:p>
        </w:tc>
        <w:tc>
          <w:tcPr>
            <w:tcW w:w="1665" w:type="dxa"/>
            <w:shd w:val="clear" w:color="auto" w:fill="auto"/>
            <w:vAlign w:val="center"/>
          </w:tcPr>
          <w:p w14:paraId="45F24D6B">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60000</w:t>
            </w:r>
          </w:p>
        </w:tc>
        <w:tc>
          <w:tcPr>
            <w:tcW w:w="960" w:type="dxa"/>
            <w:shd w:val="clear" w:color="auto" w:fill="auto"/>
            <w:vAlign w:val="center"/>
          </w:tcPr>
          <w:p w14:paraId="24A05359">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任新峰</w:t>
            </w:r>
          </w:p>
        </w:tc>
        <w:tc>
          <w:tcPr>
            <w:tcW w:w="1245" w:type="dxa"/>
            <w:shd w:val="clear" w:color="auto" w:fill="auto"/>
            <w:vAlign w:val="center"/>
          </w:tcPr>
          <w:p w14:paraId="638C1E4D">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总经理</w:t>
            </w:r>
          </w:p>
        </w:tc>
        <w:tc>
          <w:tcPr>
            <w:tcW w:w="1935" w:type="dxa"/>
            <w:shd w:val="clear" w:color="auto" w:fill="auto"/>
            <w:vAlign w:val="center"/>
          </w:tcPr>
          <w:p w14:paraId="4A6FE516">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13809146111</w:t>
            </w:r>
          </w:p>
        </w:tc>
      </w:tr>
      <w:tr w14:paraId="19ECD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585" w:type="dxa"/>
            <w:shd w:val="clear" w:color="auto" w:fill="auto"/>
            <w:vAlign w:val="center"/>
          </w:tcPr>
          <w:p w14:paraId="1E680D76">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9</w:t>
            </w:r>
          </w:p>
        </w:tc>
        <w:tc>
          <w:tcPr>
            <w:tcW w:w="1399" w:type="dxa"/>
            <w:shd w:val="clear" w:color="auto" w:fill="auto"/>
            <w:vAlign w:val="center"/>
          </w:tcPr>
          <w:p w14:paraId="1AED41FA">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开沃新能源汽车集团股份有限公司</w:t>
            </w:r>
          </w:p>
        </w:tc>
        <w:tc>
          <w:tcPr>
            <w:tcW w:w="1399" w:type="dxa"/>
            <w:shd w:val="clear" w:color="auto" w:fill="auto"/>
            <w:vAlign w:val="center"/>
          </w:tcPr>
          <w:p w14:paraId="62FB6C49">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新能源叉车智能装备研发及绿色生产基地</w:t>
            </w:r>
          </w:p>
        </w:tc>
        <w:tc>
          <w:tcPr>
            <w:tcW w:w="1250" w:type="dxa"/>
            <w:shd w:val="clear" w:color="auto" w:fill="auto"/>
            <w:vAlign w:val="center"/>
          </w:tcPr>
          <w:p w14:paraId="4F7E79D2">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新能源汽车及零部件</w:t>
            </w:r>
          </w:p>
        </w:tc>
        <w:tc>
          <w:tcPr>
            <w:tcW w:w="1139" w:type="dxa"/>
            <w:shd w:val="clear" w:color="auto" w:fill="auto"/>
            <w:vAlign w:val="center"/>
          </w:tcPr>
          <w:p w14:paraId="08087819">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咸阳市</w:t>
            </w:r>
          </w:p>
        </w:tc>
        <w:tc>
          <w:tcPr>
            <w:tcW w:w="8355" w:type="dxa"/>
            <w:shd w:val="clear" w:color="auto" w:fill="auto"/>
            <w:vAlign w:val="center"/>
          </w:tcPr>
          <w:p w14:paraId="790B62EB">
            <w:pPr>
              <w:keepNext w:val="0"/>
              <w:keepLines w:val="0"/>
              <w:pageBreakBefore w:val="0"/>
              <w:widowControl/>
              <w:suppressLineNumbers w:val="0"/>
              <w:wordWrap/>
              <w:overflowPunct/>
              <w:topLinePunct w:val="0"/>
              <w:bidi w:val="0"/>
              <w:spacing w:line="300" w:lineRule="exact"/>
              <w:jc w:val="both"/>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项目预计5年达产，达产后可年产2万台新能源叉车、1万台智能装备等产品，预计产值可达25亿元，可实现利税1.5亿元。</w:t>
            </w:r>
          </w:p>
        </w:tc>
        <w:tc>
          <w:tcPr>
            <w:tcW w:w="1575" w:type="dxa"/>
            <w:shd w:val="clear" w:color="auto" w:fill="auto"/>
            <w:vAlign w:val="center"/>
          </w:tcPr>
          <w:p w14:paraId="24285BC1">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共同出资成立新公司</w:t>
            </w:r>
          </w:p>
        </w:tc>
        <w:tc>
          <w:tcPr>
            <w:tcW w:w="1665" w:type="dxa"/>
            <w:shd w:val="clear" w:color="auto" w:fill="auto"/>
            <w:vAlign w:val="center"/>
          </w:tcPr>
          <w:p w14:paraId="7013E288">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200000</w:t>
            </w:r>
          </w:p>
        </w:tc>
        <w:tc>
          <w:tcPr>
            <w:tcW w:w="960" w:type="dxa"/>
            <w:shd w:val="clear" w:color="auto" w:fill="auto"/>
            <w:vAlign w:val="center"/>
          </w:tcPr>
          <w:p w14:paraId="0921F1D2">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赵瀛</w:t>
            </w:r>
          </w:p>
        </w:tc>
        <w:tc>
          <w:tcPr>
            <w:tcW w:w="1245" w:type="dxa"/>
            <w:shd w:val="clear" w:color="auto" w:fill="auto"/>
            <w:vAlign w:val="center"/>
          </w:tcPr>
          <w:p w14:paraId="4950A67C">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投资总监</w:t>
            </w:r>
          </w:p>
        </w:tc>
        <w:tc>
          <w:tcPr>
            <w:tcW w:w="1935" w:type="dxa"/>
            <w:shd w:val="clear" w:color="auto" w:fill="auto"/>
            <w:vAlign w:val="center"/>
          </w:tcPr>
          <w:p w14:paraId="797B0F35">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18051965073</w:t>
            </w:r>
          </w:p>
        </w:tc>
      </w:tr>
      <w:tr w14:paraId="37C3E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585" w:type="dxa"/>
            <w:shd w:val="clear" w:color="auto" w:fill="auto"/>
            <w:vAlign w:val="center"/>
          </w:tcPr>
          <w:p w14:paraId="290835A8">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10</w:t>
            </w:r>
          </w:p>
        </w:tc>
        <w:tc>
          <w:tcPr>
            <w:tcW w:w="1399" w:type="dxa"/>
            <w:shd w:val="clear" w:color="auto" w:fill="auto"/>
            <w:vAlign w:val="center"/>
          </w:tcPr>
          <w:p w14:paraId="59A4EADE">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浙江青莲食品股份有限公司</w:t>
            </w:r>
          </w:p>
        </w:tc>
        <w:tc>
          <w:tcPr>
            <w:tcW w:w="1399" w:type="dxa"/>
            <w:shd w:val="clear" w:color="auto" w:fill="auto"/>
            <w:vAlign w:val="center"/>
          </w:tcPr>
          <w:p w14:paraId="407440A7">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百万头生猪屠宰及精深加工项目</w:t>
            </w:r>
          </w:p>
        </w:tc>
        <w:tc>
          <w:tcPr>
            <w:tcW w:w="1250" w:type="dxa"/>
            <w:shd w:val="clear" w:color="auto" w:fill="auto"/>
            <w:vAlign w:val="center"/>
          </w:tcPr>
          <w:p w14:paraId="7B846FE0">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重点产业链配套</w:t>
            </w:r>
          </w:p>
        </w:tc>
        <w:tc>
          <w:tcPr>
            <w:tcW w:w="1139" w:type="dxa"/>
            <w:shd w:val="clear" w:color="auto" w:fill="auto"/>
            <w:vAlign w:val="center"/>
          </w:tcPr>
          <w:p w14:paraId="5A013E6F">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咸阳市</w:t>
            </w:r>
          </w:p>
        </w:tc>
        <w:tc>
          <w:tcPr>
            <w:tcW w:w="8355" w:type="dxa"/>
            <w:shd w:val="clear" w:color="auto" w:fill="auto"/>
            <w:vAlign w:val="center"/>
          </w:tcPr>
          <w:p w14:paraId="5CF617DC">
            <w:pPr>
              <w:keepNext w:val="0"/>
              <w:keepLines w:val="0"/>
              <w:pageBreakBefore w:val="0"/>
              <w:widowControl/>
              <w:suppressLineNumbers w:val="0"/>
              <w:wordWrap/>
              <w:overflowPunct/>
              <w:topLinePunct w:val="0"/>
              <w:bidi w:val="0"/>
              <w:spacing w:line="300" w:lineRule="exact"/>
              <w:jc w:val="both"/>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建设年屠宰 100 万头的屠宰工厂及年生产约 8000吨的制品工厂，综合用地面积约 80 亩。预计投资金额 1.5 亿元，厂房约 3 万平方米，其中屠宰厂房约 2 万平方米，深加工厂房约 1 万平方米。</w:t>
            </w:r>
          </w:p>
        </w:tc>
        <w:tc>
          <w:tcPr>
            <w:tcW w:w="1575" w:type="dxa"/>
            <w:shd w:val="clear" w:color="auto" w:fill="auto"/>
            <w:vAlign w:val="center"/>
          </w:tcPr>
          <w:p w14:paraId="637C706A">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合资</w:t>
            </w:r>
          </w:p>
        </w:tc>
        <w:tc>
          <w:tcPr>
            <w:tcW w:w="1665" w:type="dxa"/>
            <w:shd w:val="clear" w:color="auto" w:fill="auto"/>
            <w:vAlign w:val="center"/>
          </w:tcPr>
          <w:p w14:paraId="1B0862B5">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15000</w:t>
            </w:r>
          </w:p>
        </w:tc>
        <w:tc>
          <w:tcPr>
            <w:tcW w:w="960" w:type="dxa"/>
            <w:shd w:val="clear" w:color="auto" w:fill="auto"/>
            <w:vAlign w:val="center"/>
          </w:tcPr>
          <w:p w14:paraId="630DC298">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吴康</w:t>
            </w:r>
          </w:p>
        </w:tc>
        <w:tc>
          <w:tcPr>
            <w:tcW w:w="1245" w:type="dxa"/>
            <w:shd w:val="clear" w:color="auto" w:fill="auto"/>
            <w:vAlign w:val="center"/>
          </w:tcPr>
          <w:p w14:paraId="35884E5C">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副总经理</w:t>
            </w:r>
          </w:p>
        </w:tc>
        <w:tc>
          <w:tcPr>
            <w:tcW w:w="1935" w:type="dxa"/>
            <w:shd w:val="clear" w:color="auto" w:fill="auto"/>
            <w:vAlign w:val="center"/>
          </w:tcPr>
          <w:p w14:paraId="5EBBC0C2">
            <w:pPr>
              <w:keepNext w:val="0"/>
              <w:keepLines w:val="0"/>
              <w:pageBreakBefore w:val="0"/>
              <w:widowControl/>
              <w:suppressLineNumbers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15829932373</w:t>
            </w:r>
          </w:p>
        </w:tc>
      </w:tr>
      <w:tr w14:paraId="155B9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585" w:type="dxa"/>
            <w:shd w:val="clear" w:color="auto" w:fill="auto"/>
            <w:vAlign w:val="center"/>
          </w:tcPr>
          <w:p w14:paraId="285826D6">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11</w:t>
            </w:r>
          </w:p>
        </w:tc>
        <w:tc>
          <w:tcPr>
            <w:tcW w:w="1399" w:type="dxa"/>
            <w:shd w:val="clear" w:color="auto" w:fill="auto"/>
            <w:vAlign w:val="center"/>
          </w:tcPr>
          <w:p w14:paraId="06AF3882">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rPr>
              <w:t>陕西圣乳滋乳业有限公司</w:t>
            </w:r>
          </w:p>
        </w:tc>
        <w:tc>
          <w:tcPr>
            <w:tcW w:w="1399" w:type="dxa"/>
            <w:shd w:val="clear" w:color="auto" w:fill="auto"/>
            <w:vAlign w:val="center"/>
          </w:tcPr>
          <w:p w14:paraId="3FF5C25B">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陕西圣乳滋液态羊乳建设加工项目</w:t>
            </w:r>
          </w:p>
        </w:tc>
        <w:tc>
          <w:tcPr>
            <w:tcW w:w="1250" w:type="dxa"/>
            <w:shd w:val="clear" w:color="auto" w:fill="auto"/>
            <w:vAlign w:val="center"/>
          </w:tcPr>
          <w:p w14:paraId="1CF43281">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rPr>
              <w:t>产业链配套及乡村振兴</w:t>
            </w:r>
          </w:p>
        </w:tc>
        <w:tc>
          <w:tcPr>
            <w:tcW w:w="1139" w:type="dxa"/>
            <w:shd w:val="clear" w:color="auto" w:fill="auto"/>
            <w:vAlign w:val="center"/>
          </w:tcPr>
          <w:p w14:paraId="0785BA8C">
            <w:pPr>
              <w:pStyle w:val="6"/>
              <w:keepNext w:val="0"/>
              <w:keepLines w:val="0"/>
              <w:pageBreakBefore w:val="0"/>
              <w:wordWrap/>
              <w:overflowPunct/>
              <w:topLinePunct w:val="0"/>
              <w:bidi w:val="0"/>
              <w:spacing w:line="30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渭南市</w:t>
            </w:r>
          </w:p>
        </w:tc>
        <w:tc>
          <w:tcPr>
            <w:tcW w:w="8355" w:type="dxa"/>
            <w:shd w:val="clear" w:color="auto" w:fill="auto"/>
            <w:vAlign w:val="center"/>
          </w:tcPr>
          <w:p w14:paraId="2EBB2D40">
            <w:pPr>
              <w:pStyle w:val="6"/>
              <w:keepNext w:val="0"/>
              <w:keepLines w:val="0"/>
              <w:pageBreakBefore w:val="0"/>
              <w:wordWrap/>
              <w:overflowPunct/>
              <w:topLinePunct w:val="0"/>
              <w:bidi w:val="0"/>
              <w:spacing w:line="300" w:lineRule="exact"/>
              <w:jc w:val="both"/>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eastAsia="zh-CN"/>
              </w:rPr>
              <w:t>项目总投资计划1.7亿元，包括一个工厂和一个牧场。项目设计两个品项：一是引进进口新工艺超高温设备，采用蒸汽喷射灭菌原理最大程度保留羊奶的营养和生物活性物质，灌装配套分别是七层纸盒带盖200克常温纯羊奶；另一个是和PE瓶200克、杯装灌装生产线的低温鲜羊奶和羊酸奶。建设产能 140吨/日常温液态奶生产线 4 条、产能80 吨/日低温液态奶生产线 2 条；同时配套万只羊场一座，弥补干奶期的工厂正常运行。</w:t>
            </w:r>
          </w:p>
        </w:tc>
        <w:tc>
          <w:tcPr>
            <w:tcW w:w="1575" w:type="dxa"/>
            <w:shd w:val="clear" w:color="auto" w:fill="auto"/>
            <w:vAlign w:val="center"/>
          </w:tcPr>
          <w:p w14:paraId="32663CBE">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eastAsia="zh-CN"/>
              </w:rPr>
              <w:t>占股分红、投资获利或合作经营</w:t>
            </w:r>
          </w:p>
        </w:tc>
        <w:tc>
          <w:tcPr>
            <w:tcW w:w="1665" w:type="dxa"/>
            <w:shd w:val="clear" w:color="auto" w:fill="auto"/>
            <w:vAlign w:val="center"/>
          </w:tcPr>
          <w:p w14:paraId="7D6A70E9">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eastAsia="zh-CN"/>
              </w:rPr>
              <w:t>5500</w:t>
            </w:r>
          </w:p>
        </w:tc>
        <w:tc>
          <w:tcPr>
            <w:tcW w:w="960" w:type="dxa"/>
            <w:shd w:val="clear" w:color="auto" w:fill="auto"/>
            <w:vAlign w:val="center"/>
          </w:tcPr>
          <w:p w14:paraId="0EA2B051">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rPr>
              <w:t>张瑞东</w:t>
            </w:r>
          </w:p>
        </w:tc>
        <w:tc>
          <w:tcPr>
            <w:tcW w:w="1245" w:type="dxa"/>
            <w:shd w:val="clear" w:color="auto" w:fill="auto"/>
            <w:vAlign w:val="center"/>
          </w:tcPr>
          <w:p w14:paraId="7CFD827A">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rPr>
              <w:t>总经理</w:t>
            </w:r>
          </w:p>
        </w:tc>
        <w:tc>
          <w:tcPr>
            <w:tcW w:w="1935" w:type="dxa"/>
            <w:shd w:val="clear" w:color="auto" w:fill="auto"/>
            <w:vAlign w:val="center"/>
          </w:tcPr>
          <w:p w14:paraId="216E89CA">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eastAsia="zh-CN"/>
              </w:rPr>
              <w:t>18691787186</w:t>
            </w:r>
          </w:p>
        </w:tc>
      </w:tr>
      <w:tr w14:paraId="713C9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585" w:type="dxa"/>
            <w:shd w:val="clear" w:color="auto" w:fill="auto"/>
            <w:vAlign w:val="center"/>
          </w:tcPr>
          <w:p w14:paraId="338D27A7">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12</w:t>
            </w:r>
          </w:p>
        </w:tc>
        <w:tc>
          <w:tcPr>
            <w:tcW w:w="1399" w:type="dxa"/>
            <w:shd w:val="clear" w:color="auto" w:fill="auto"/>
            <w:vAlign w:val="center"/>
          </w:tcPr>
          <w:p w14:paraId="6D955F1D">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汉中未来智慧谷人工智能科技有限公司</w:t>
            </w:r>
          </w:p>
        </w:tc>
        <w:tc>
          <w:tcPr>
            <w:tcW w:w="1399" w:type="dxa"/>
            <w:shd w:val="clear" w:color="auto" w:fill="auto"/>
            <w:vAlign w:val="center"/>
          </w:tcPr>
          <w:p w14:paraId="1EAB1910">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lang w:val="en-US" w:eastAsia="zh-CN"/>
              </w:rPr>
              <w:t>汉中人工智能和低空经济应用示范基地项目</w:t>
            </w:r>
          </w:p>
        </w:tc>
        <w:tc>
          <w:tcPr>
            <w:tcW w:w="1250" w:type="dxa"/>
            <w:shd w:val="clear" w:color="auto" w:fill="auto"/>
            <w:vAlign w:val="center"/>
          </w:tcPr>
          <w:p w14:paraId="4DD09D13">
            <w:pPr>
              <w:pStyle w:val="6"/>
              <w:keepNext w:val="0"/>
              <w:keepLines w:val="0"/>
              <w:pageBreakBefore w:val="0"/>
              <w:wordWrap/>
              <w:overflowPunct/>
              <w:topLinePunct w:val="0"/>
              <w:bidi w:val="0"/>
              <w:spacing w:line="3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科技成果</w:t>
            </w:r>
          </w:p>
          <w:p w14:paraId="0CC3AE38">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转化</w:t>
            </w:r>
          </w:p>
        </w:tc>
        <w:tc>
          <w:tcPr>
            <w:tcW w:w="1139" w:type="dxa"/>
            <w:shd w:val="clear" w:color="auto" w:fill="auto"/>
            <w:vAlign w:val="center"/>
          </w:tcPr>
          <w:p w14:paraId="752B8F73">
            <w:pPr>
              <w:pStyle w:val="6"/>
              <w:keepNext w:val="0"/>
              <w:keepLines w:val="0"/>
              <w:pageBreakBefore w:val="0"/>
              <w:wordWrap/>
              <w:overflowPunct/>
              <w:topLinePunct w:val="0"/>
              <w:bidi w:val="0"/>
              <w:spacing w:line="3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汉中市</w:t>
            </w:r>
          </w:p>
        </w:tc>
        <w:tc>
          <w:tcPr>
            <w:tcW w:w="8355" w:type="dxa"/>
            <w:shd w:val="clear" w:color="auto" w:fill="auto"/>
            <w:vAlign w:val="center"/>
          </w:tcPr>
          <w:p w14:paraId="12B99F27">
            <w:pPr>
              <w:keepNext w:val="0"/>
              <w:keepLines w:val="0"/>
              <w:pageBreakBefore w:val="0"/>
              <w:widowControl/>
              <w:suppressLineNumbers w:val="0"/>
              <w:wordWrap/>
              <w:overflowPunct/>
              <w:topLinePunct w:val="0"/>
              <w:bidi w:val="0"/>
              <w:spacing w:line="300" w:lineRule="exact"/>
              <w:jc w:val="both"/>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zh-CN" w:bidi="ar"/>
              </w:rPr>
              <w:t>汉中人工智能和低空经济场景应用示范基地（以下简称“示范基地”）是南郑区紧扣国家“人工智能+”战略部署，以“人工智能+低空经济”深度融合为核心抓手，全力推动数字经济与实体经济协同发展的标杆工程。该项目严格遵循“以示范引领推动人工智能 + 低空经济深度融合”的总体思路，旨在破解“人工智能不知如何落地、数字经济不知如何推进”的现实难题。项目依托南郑区数字经济产业园，分阶段、分领域推进人工智能技术与低空场景的规模化、商业化应用，覆盖环保、农业、城管、应急、交通等多个关键领域，最终形成可复制、可推广的“人工智能 + 低空”发展模式，为区域经济高质量发展开辟全新路径。</w:t>
            </w:r>
          </w:p>
        </w:tc>
        <w:tc>
          <w:tcPr>
            <w:tcW w:w="1575" w:type="dxa"/>
            <w:shd w:val="clear" w:color="auto" w:fill="auto"/>
            <w:vAlign w:val="center"/>
          </w:tcPr>
          <w:p w14:paraId="383FC68E">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p>
        </w:tc>
        <w:tc>
          <w:tcPr>
            <w:tcW w:w="1665" w:type="dxa"/>
            <w:shd w:val="clear" w:color="auto" w:fill="auto"/>
            <w:vAlign w:val="center"/>
          </w:tcPr>
          <w:p w14:paraId="7773B540">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8000</w:t>
            </w:r>
          </w:p>
        </w:tc>
        <w:tc>
          <w:tcPr>
            <w:tcW w:w="960" w:type="dxa"/>
            <w:shd w:val="clear" w:color="auto" w:fill="auto"/>
            <w:vAlign w:val="center"/>
          </w:tcPr>
          <w:p w14:paraId="0949CDE8">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李俊</w:t>
            </w:r>
          </w:p>
        </w:tc>
        <w:tc>
          <w:tcPr>
            <w:tcW w:w="1245" w:type="dxa"/>
            <w:shd w:val="clear" w:color="auto" w:fill="auto"/>
            <w:vAlign w:val="center"/>
          </w:tcPr>
          <w:p w14:paraId="665B4B89">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董事长</w:t>
            </w:r>
          </w:p>
        </w:tc>
        <w:tc>
          <w:tcPr>
            <w:tcW w:w="1935" w:type="dxa"/>
            <w:shd w:val="clear" w:color="auto" w:fill="auto"/>
            <w:vAlign w:val="center"/>
          </w:tcPr>
          <w:p w14:paraId="16CC787D">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rPr>
              <w:t>15102975880</w:t>
            </w:r>
          </w:p>
        </w:tc>
      </w:tr>
      <w:tr w14:paraId="6326F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585" w:type="dxa"/>
            <w:shd w:val="clear" w:color="auto" w:fill="auto"/>
            <w:vAlign w:val="center"/>
          </w:tcPr>
          <w:p w14:paraId="187DD640">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13</w:t>
            </w:r>
          </w:p>
        </w:tc>
        <w:tc>
          <w:tcPr>
            <w:tcW w:w="1399" w:type="dxa"/>
            <w:shd w:val="clear" w:color="auto" w:fill="auto"/>
            <w:vAlign w:val="center"/>
          </w:tcPr>
          <w:p w14:paraId="3FE77FB4">
            <w:pPr>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北京九州朴厚科技有限公司</w:t>
            </w:r>
          </w:p>
        </w:tc>
        <w:tc>
          <w:tcPr>
            <w:tcW w:w="1399" w:type="dxa"/>
            <w:shd w:val="clear" w:color="auto" w:fill="auto"/>
            <w:vAlign w:val="center"/>
          </w:tcPr>
          <w:p w14:paraId="38C6D6A6">
            <w:pPr>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中国健康好乡村项目</w:t>
            </w:r>
          </w:p>
        </w:tc>
        <w:tc>
          <w:tcPr>
            <w:tcW w:w="1250" w:type="dxa"/>
            <w:shd w:val="clear" w:color="auto" w:fill="auto"/>
            <w:vAlign w:val="center"/>
          </w:tcPr>
          <w:p w14:paraId="7C85DA93">
            <w:pPr>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lang w:eastAsia="zh-CN"/>
              </w:rPr>
              <w:t>重点产业链配套</w:t>
            </w:r>
          </w:p>
        </w:tc>
        <w:tc>
          <w:tcPr>
            <w:tcW w:w="1139" w:type="dxa"/>
            <w:shd w:val="clear" w:color="auto" w:fill="auto"/>
            <w:vAlign w:val="center"/>
          </w:tcPr>
          <w:p w14:paraId="03392994">
            <w:pPr>
              <w:keepNext w:val="0"/>
              <w:keepLines w:val="0"/>
              <w:pageBreakBefore w:val="0"/>
              <w:wordWrap/>
              <w:overflowPunct/>
              <w:topLinePunct w:val="0"/>
              <w:bidi w:val="0"/>
              <w:spacing w:line="300" w:lineRule="exact"/>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汉中市</w:t>
            </w:r>
          </w:p>
        </w:tc>
        <w:tc>
          <w:tcPr>
            <w:tcW w:w="8355" w:type="dxa"/>
            <w:shd w:val="clear" w:color="auto" w:fill="auto"/>
            <w:vAlign w:val="center"/>
          </w:tcPr>
          <w:p w14:paraId="787E6EA5">
            <w:pPr>
              <w:pStyle w:val="6"/>
              <w:keepNext w:val="0"/>
              <w:keepLines w:val="0"/>
              <w:pageBreakBefore w:val="0"/>
              <w:wordWrap/>
              <w:overflowPunct/>
              <w:topLinePunct w:val="0"/>
              <w:bidi w:val="0"/>
              <w:spacing w:line="300" w:lineRule="exact"/>
              <w:jc w:val="both"/>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依托于紫柏山宽沟游客接待中心，拟建设中医药文化传承和基因保护、中药材生态种植基地、中医药康养小镇等，聚力打造秦岭山脉中医药产业发展新高地。</w:t>
            </w:r>
          </w:p>
        </w:tc>
        <w:tc>
          <w:tcPr>
            <w:tcW w:w="1575" w:type="dxa"/>
            <w:shd w:val="clear" w:color="auto" w:fill="auto"/>
            <w:vAlign w:val="center"/>
          </w:tcPr>
          <w:p w14:paraId="6E8B2563">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eastAsia="zh-CN"/>
              </w:rPr>
              <w:t>合作</w:t>
            </w:r>
          </w:p>
        </w:tc>
        <w:tc>
          <w:tcPr>
            <w:tcW w:w="1665" w:type="dxa"/>
            <w:shd w:val="clear" w:color="auto" w:fill="auto"/>
            <w:vAlign w:val="center"/>
          </w:tcPr>
          <w:p w14:paraId="58C52EF8">
            <w:pPr>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20000</w:t>
            </w:r>
          </w:p>
        </w:tc>
        <w:tc>
          <w:tcPr>
            <w:tcW w:w="960" w:type="dxa"/>
            <w:shd w:val="clear" w:color="auto" w:fill="auto"/>
            <w:vAlign w:val="center"/>
          </w:tcPr>
          <w:p w14:paraId="7108DD55">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魏明</w:t>
            </w:r>
          </w:p>
        </w:tc>
        <w:tc>
          <w:tcPr>
            <w:tcW w:w="1245" w:type="dxa"/>
            <w:shd w:val="clear" w:color="auto" w:fill="auto"/>
            <w:vAlign w:val="center"/>
          </w:tcPr>
          <w:p w14:paraId="30A57B8E">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总经理</w:t>
            </w:r>
          </w:p>
        </w:tc>
        <w:tc>
          <w:tcPr>
            <w:tcW w:w="1935" w:type="dxa"/>
            <w:shd w:val="clear" w:color="auto" w:fill="auto"/>
            <w:vAlign w:val="center"/>
          </w:tcPr>
          <w:p w14:paraId="43E49B3B">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13911329947</w:t>
            </w:r>
          </w:p>
        </w:tc>
      </w:tr>
      <w:tr w14:paraId="632F8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85" w:type="dxa"/>
            <w:shd w:val="clear" w:color="auto" w:fill="auto"/>
            <w:vAlign w:val="center"/>
          </w:tcPr>
          <w:p w14:paraId="6B489BDE">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14</w:t>
            </w:r>
          </w:p>
        </w:tc>
        <w:tc>
          <w:tcPr>
            <w:tcW w:w="1399" w:type="dxa"/>
            <w:shd w:val="clear" w:color="auto" w:fill="auto"/>
            <w:vAlign w:val="center"/>
          </w:tcPr>
          <w:p w14:paraId="5A1CF1ED">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陕西美天易菇农业科技有限公司</w:t>
            </w:r>
          </w:p>
        </w:tc>
        <w:tc>
          <w:tcPr>
            <w:tcW w:w="1399" w:type="dxa"/>
            <w:shd w:val="clear" w:color="auto" w:fill="auto"/>
            <w:vAlign w:val="center"/>
          </w:tcPr>
          <w:p w14:paraId="680353C5">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lang w:val="en-US" w:eastAsia="zh-CN"/>
              </w:rPr>
              <w:t>天麻、黄精、茯苓深加工及市场拓展融资计划</w:t>
            </w:r>
          </w:p>
        </w:tc>
        <w:tc>
          <w:tcPr>
            <w:tcW w:w="1250" w:type="dxa"/>
            <w:shd w:val="clear" w:color="auto" w:fill="auto"/>
            <w:vAlign w:val="center"/>
          </w:tcPr>
          <w:p w14:paraId="5D8E45BA">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eastAsia="zh-CN"/>
              </w:rPr>
              <w:t>重点产业链配套</w:t>
            </w:r>
          </w:p>
        </w:tc>
        <w:tc>
          <w:tcPr>
            <w:tcW w:w="1139" w:type="dxa"/>
            <w:shd w:val="clear" w:color="auto" w:fill="auto"/>
            <w:vAlign w:val="center"/>
          </w:tcPr>
          <w:p w14:paraId="4670DAA3">
            <w:pPr>
              <w:keepNext w:val="0"/>
              <w:keepLines w:val="0"/>
              <w:pageBreakBefore w:val="0"/>
              <w:wordWrap/>
              <w:overflowPunct/>
              <w:topLinePunct w:val="0"/>
              <w:bidi w:val="0"/>
              <w:spacing w:line="300" w:lineRule="exact"/>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汉中市</w:t>
            </w:r>
          </w:p>
        </w:tc>
        <w:tc>
          <w:tcPr>
            <w:tcW w:w="8355" w:type="dxa"/>
            <w:shd w:val="clear" w:color="auto" w:fill="auto"/>
            <w:vAlign w:val="center"/>
          </w:tcPr>
          <w:p w14:paraId="7BEBF4FD">
            <w:pPr>
              <w:keepNext w:val="0"/>
              <w:keepLines w:val="0"/>
              <w:pageBreakBefore w:val="0"/>
              <w:widowControl w:val="0"/>
              <w:wordWrap/>
              <w:overflowPunct/>
              <w:topLinePunct w:val="0"/>
              <w:bidi w:val="0"/>
              <w:spacing w:line="300" w:lineRule="exact"/>
              <w:jc w:val="both"/>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zh-CN" w:bidi="ar-SA"/>
              </w:rPr>
              <w:t>天麻、黄精、茯苓，作为珍贵的中药材，以其独特的药用价值和广泛的应用前景，在中医药市场占据重要地位。随着人们对健康生活的追求日益增强，以及中医药产业的快速发展，市场需求持续增长。本项目旨在通过融资，建设天麻、黄精、茯苓精深加工生产线，提升产品附加值，扩大市场份额，实现天麻、黄精、茯苓产业的可持续发展。</w:t>
            </w:r>
          </w:p>
        </w:tc>
        <w:tc>
          <w:tcPr>
            <w:tcW w:w="1575" w:type="dxa"/>
            <w:shd w:val="clear" w:color="auto" w:fill="auto"/>
            <w:vAlign w:val="center"/>
          </w:tcPr>
          <w:p w14:paraId="063182FB">
            <w:pPr>
              <w:pStyle w:val="2"/>
              <w:keepNext w:val="0"/>
              <w:keepLines w:val="0"/>
              <w:pageBreakBefore w:val="0"/>
              <w:widowControl/>
              <w:suppressLineNumbers w:val="0"/>
              <w:shd w:val="clear" w:fill="FFFFFF"/>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 w:hAnsi="仿宋" w:eastAsia="仿宋" w:cs="仿宋"/>
                <w:b w:val="0"/>
                <w:bCs w:val="0"/>
                <w:snapToGrid w:val="0"/>
                <w:color w:val="000000"/>
                <w:kern w:val="0"/>
                <w:sz w:val="21"/>
                <w:szCs w:val="21"/>
                <w:lang w:val="en-US" w:eastAsia="zh-CN" w:bidi="ar-SA"/>
              </w:rPr>
            </w:pPr>
            <w:r>
              <w:rPr>
                <w:rFonts w:hint="eastAsia" w:ascii="仿宋" w:hAnsi="仿宋" w:eastAsia="仿宋" w:cs="仿宋"/>
                <w:b w:val="0"/>
                <w:bCs w:val="0"/>
                <w:snapToGrid w:val="0"/>
                <w:color w:val="000000"/>
                <w:kern w:val="0"/>
                <w:sz w:val="21"/>
                <w:szCs w:val="21"/>
                <w:lang w:val="en-US" w:eastAsia="zh-CN" w:bidi="ar-SA"/>
              </w:rPr>
              <w:t>政府及政策性</w:t>
            </w:r>
          </w:p>
          <w:p w14:paraId="238BBE76">
            <w:pPr>
              <w:pStyle w:val="2"/>
              <w:keepNext w:val="0"/>
              <w:keepLines w:val="0"/>
              <w:pageBreakBefore w:val="0"/>
              <w:widowControl/>
              <w:suppressLineNumbers w:val="0"/>
              <w:shd w:val="clear" w:fill="FFFFFF"/>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b w:val="0"/>
                <w:bCs w:val="0"/>
                <w:snapToGrid w:val="0"/>
                <w:color w:val="000000"/>
                <w:kern w:val="0"/>
                <w:sz w:val="21"/>
                <w:szCs w:val="21"/>
                <w:lang w:val="en-US" w:eastAsia="zh-CN" w:bidi="ar-SA"/>
              </w:rPr>
              <w:t>资金争取</w:t>
            </w:r>
          </w:p>
        </w:tc>
        <w:tc>
          <w:tcPr>
            <w:tcW w:w="1665" w:type="dxa"/>
            <w:shd w:val="clear" w:color="auto" w:fill="auto"/>
            <w:vAlign w:val="center"/>
          </w:tcPr>
          <w:p w14:paraId="14996FC7">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1200</w:t>
            </w:r>
          </w:p>
        </w:tc>
        <w:tc>
          <w:tcPr>
            <w:tcW w:w="960" w:type="dxa"/>
            <w:shd w:val="clear" w:color="auto" w:fill="auto"/>
            <w:vAlign w:val="center"/>
          </w:tcPr>
          <w:p w14:paraId="5210DF39">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董柯良</w:t>
            </w:r>
          </w:p>
        </w:tc>
        <w:tc>
          <w:tcPr>
            <w:tcW w:w="1245" w:type="dxa"/>
            <w:shd w:val="clear" w:color="auto" w:fill="auto"/>
            <w:vAlign w:val="center"/>
          </w:tcPr>
          <w:p w14:paraId="4834AFF0">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总经理</w:t>
            </w:r>
          </w:p>
        </w:tc>
        <w:tc>
          <w:tcPr>
            <w:tcW w:w="1935" w:type="dxa"/>
            <w:shd w:val="clear" w:color="auto" w:fill="auto"/>
            <w:vAlign w:val="center"/>
          </w:tcPr>
          <w:p w14:paraId="6619D88C">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15291580818</w:t>
            </w:r>
          </w:p>
        </w:tc>
      </w:tr>
      <w:tr w14:paraId="4A527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585" w:type="dxa"/>
            <w:shd w:val="clear" w:color="auto" w:fill="auto"/>
            <w:vAlign w:val="center"/>
          </w:tcPr>
          <w:p w14:paraId="29C056E0">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15</w:t>
            </w:r>
          </w:p>
        </w:tc>
        <w:tc>
          <w:tcPr>
            <w:tcW w:w="1399" w:type="dxa"/>
            <w:shd w:val="clear" w:color="auto" w:fill="auto"/>
            <w:vAlign w:val="center"/>
          </w:tcPr>
          <w:p w14:paraId="2E9FACCD">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陕西红石绿能光电科技有限公司</w:t>
            </w:r>
          </w:p>
        </w:tc>
        <w:tc>
          <w:tcPr>
            <w:tcW w:w="1399" w:type="dxa"/>
            <w:shd w:val="clear" w:color="auto" w:fill="auto"/>
            <w:vAlign w:val="center"/>
          </w:tcPr>
          <w:p w14:paraId="710EC2F4">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白河县年产1GW光伏组件生产线建设项目</w:t>
            </w:r>
          </w:p>
        </w:tc>
        <w:tc>
          <w:tcPr>
            <w:tcW w:w="1250" w:type="dxa"/>
            <w:shd w:val="clear" w:color="auto" w:fill="auto"/>
            <w:vAlign w:val="center"/>
          </w:tcPr>
          <w:p w14:paraId="682104E5">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重点产业链配套</w:t>
            </w:r>
          </w:p>
        </w:tc>
        <w:tc>
          <w:tcPr>
            <w:tcW w:w="1139" w:type="dxa"/>
            <w:shd w:val="clear" w:color="auto" w:fill="auto"/>
            <w:vAlign w:val="center"/>
          </w:tcPr>
          <w:p w14:paraId="71D1C99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安康市</w:t>
            </w:r>
          </w:p>
        </w:tc>
        <w:tc>
          <w:tcPr>
            <w:tcW w:w="8355" w:type="dxa"/>
            <w:shd w:val="clear" w:color="auto" w:fill="auto"/>
            <w:vAlign w:val="center"/>
          </w:tcPr>
          <w:p w14:paraId="0284A749">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淘汰原有的400MW组件生产线设备31套，更新购置先进高效生产设备和检测设备生产设备72台，建成年产1GW光伏组件生产线。自动化的检测设备等对产品全方位、高精度的质量检测，确保符合行业高标准。</w:t>
            </w:r>
          </w:p>
        </w:tc>
        <w:tc>
          <w:tcPr>
            <w:tcW w:w="1575" w:type="dxa"/>
            <w:shd w:val="clear" w:color="auto" w:fill="auto"/>
            <w:vAlign w:val="center"/>
          </w:tcPr>
          <w:p w14:paraId="61128F67">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合资</w:t>
            </w:r>
          </w:p>
        </w:tc>
        <w:tc>
          <w:tcPr>
            <w:tcW w:w="1665" w:type="dxa"/>
            <w:shd w:val="clear" w:color="auto" w:fill="auto"/>
            <w:vAlign w:val="center"/>
          </w:tcPr>
          <w:p w14:paraId="57FA30BA">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rPr>
              <w:t>5000</w:t>
            </w:r>
          </w:p>
        </w:tc>
        <w:tc>
          <w:tcPr>
            <w:tcW w:w="960" w:type="dxa"/>
            <w:shd w:val="clear" w:color="auto" w:fill="auto"/>
            <w:vAlign w:val="center"/>
          </w:tcPr>
          <w:p w14:paraId="45A5105A">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rPr>
              <w:t>金辉</w:t>
            </w:r>
          </w:p>
        </w:tc>
        <w:tc>
          <w:tcPr>
            <w:tcW w:w="1245" w:type="dxa"/>
            <w:shd w:val="clear" w:color="auto" w:fill="auto"/>
            <w:vAlign w:val="center"/>
          </w:tcPr>
          <w:p w14:paraId="604E5DC9">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rPr>
              <w:t>总经理</w:t>
            </w:r>
          </w:p>
        </w:tc>
        <w:tc>
          <w:tcPr>
            <w:tcW w:w="1935" w:type="dxa"/>
            <w:shd w:val="clear" w:color="auto" w:fill="auto"/>
            <w:vAlign w:val="center"/>
          </w:tcPr>
          <w:p w14:paraId="3A620632">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rPr>
              <w:t>13699771891</w:t>
            </w:r>
          </w:p>
        </w:tc>
      </w:tr>
      <w:tr w14:paraId="42ABE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585" w:type="dxa"/>
            <w:shd w:val="clear" w:color="auto" w:fill="auto"/>
            <w:vAlign w:val="center"/>
          </w:tcPr>
          <w:p w14:paraId="02304850">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16</w:t>
            </w:r>
          </w:p>
        </w:tc>
        <w:tc>
          <w:tcPr>
            <w:tcW w:w="1399" w:type="dxa"/>
            <w:vAlign w:val="center"/>
          </w:tcPr>
          <w:p w14:paraId="6970B972">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陕西泸康酒业（集团）股份有限公司</w:t>
            </w:r>
          </w:p>
        </w:tc>
        <w:tc>
          <w:tcPr>
            <w:tcW w:w="1399" w:type="dxa"/>
            <w:vAlign w:val="center"/>
          </w:tcPr>
          <w:p w14:paraId="746AE947">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安康江南物流园区</w:t>
            </w:r>
          </w:p>
        </w:tc>
        <w:tc>
          <w:tcPr>
            <w:tcW w:w="1250" w:type="dxa"/>
            <w:vAlign w:val="center"/>
          </w:tcPr>
          <w:p w14:paraId="555BD663">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重点产业链配套</w:t>
            </w:r>
          </w:p>
        </w:tc>
        <w:tc>
          <w:tcPr>
            <w:tcW w:w="1139" w:type="dxa"/>
            <w:vAlign w:val="center"/>
          </w:tcPr>
          <w:p w14:paraId="4376A05F">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lang w:eastAsia="zh-CN"/>
              </w:rPr>
            </w:pPr>
            <w:r>
              <w:rPr>
                <w:rFonts w:hint="eastAsia" w:ascii="仿宋" w:hAnsi="仿宋" w:eastAsia="仿宋" w:cs="仿宋"/>
                <w:sz w:val="21"/>
                <w:szCs w:val="21"/>
                <w:lang w:eastAsia="zh-CN"/>
              </w:rPr>
              <w:t>安康市</w:t>
            </w:r>
          </w:p>
        </w:tc>
        <w:tc>
          <w:tcPr>
            <w:tcW w:w="8355" w:type="dxa"/>
            <w:vAlign w:val="center"/>
          </w:tcPr>
          <w:p w14:paraId="5F95B87E">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 w:hAnsi="仿宋" w:eastAsia="仿宋" w:cs="仿宋"/>
                <w:sz w:val="21"/>
                <w:szCs w:val="21"/>
              </w:rPr>
            </w:pPr>
            <w:r>
              <w:rPr>
                <w:rFonts w:hint="eastAsia" w:ascii="仿宋" w:hAnsi="仿宋" w:eastAsia="仿宋" w:cs="仿宋"/>
                <w:sz w:val="21"/>
                <w:szCs w:val="21"/>
              </w:rPr>
              <w:t>安康江南物流园区是依托公路运输为主，集交易、配送、仓储、电子商务和综合服务于一体的现代物流中心。园区总占地面积 168560.3 ㎡（252.8 亩），总建筑面积 52049.15 ㎡，绿化面积77947.454 ㎡，工程总投资为 27072.21万元。根据园区功能定位、市场拓展方向以及物流作业工艺流程，园区共设商务办公区、零担业务区、整车业务区、电商业务区、快递业务区、辅助服务区六大功能分区。</w:t>
            </w:r>
          </w:p>
        </w:tc>
        <w:tc>
          <w:tcPr>
            <w:tcW w:w="1575" w:type="dxa"/>
            <w:vAlign w:val="center"/>
          </w:tcPr>
          <w:p w14:paraId="13644561">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投资/租赁</w:t>
            </w:r>
          </w:p>
        </w:tc>
        <w:tc>
          <w:tcPr>
            <w:tcW w:w="1665" w:type="dxa"/>
            <w:vAlign w:val="center"/>
          </w:tcPr>
          <w:p w14:paraId="00508803">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10800</w:t>
            </w:r>
          </w:p>
        </w:tc>
        <w:tc>
          <w:tcPr>
            <w:tcW w:w="960" w:type="dxa"/>
            <w:vAlign w:val="center"/>
          </w:tcPr>
          <w:p w14:paraId="1654B588">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lang w:eastAsia="zh-CN"/>
              </w:rPr>
              <w:t>来秋</w:t>
            </w:r>
          </w:p>
        </w:tc>
        <w:tc>
          <w:tcPr>
            <w:tcW w:w="1245" w:type="dxa"/>
            <w:vAlign w:val="center"/>
          </w:tcPr>
          <w:p w14:paraId="57956EFD">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lang w:eastAsia="zh-CN"/>
              </w:rPr>
              <w:t>副总经理</w:t>
            </w:r>
          </w:p>
        </w:tc>
        <w:tc>
          <w:tcPr>
            <w:tcW w:w="1935" w:type="dxa"/>
            <w:vAlign w:val="center"/>
          </w:tcPr>
          <w:p w14:paraId="640C0467">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13992587222</w:t>
            </w:r>
          </w:p>
        </w:tc>
      </w:tr>
      <w:tr w14:paraId="6C30F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585" w:type="dxa"/>
            <w:shd w:val="clear" w:color="auto" w:fill="auto"/>
            <w:vAlign w:val="center"/>
          </w:tcPr>
          <w:p w14:paraId="3CD99D42">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17</w:t>
            </w:r>
          </w:p>
        </w:tc>
        <w:tc>
          <w:tcPr>
            <w:tcW w:w="1399" w:type="dxa"/>
            <w:shd w:val="clear" w:color="auto" w:fill="auto"/>
            <w:vAlign w:val="center"/>
          </w:tcPr>
          <w:p w14:paraId="7A3F72FA">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安康市民荣实业集团食品有限公司</w:t>
            </w:r>
          </w:p>
        </w:tc>
        <w:tc>
          <w:tcPr>
            <w:tcW w:w="1399" w:type="dxa"/>
            <w:shd w:val="clear" w:color="auto" w:fill="auto"/>
            <w:vAlign w:val="center"/>
          </w:tcPr>
          <w:p w14:paraId="3ADC13D2">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冷链物流</w:t>
            </w:r>
          </w:p>
        </w:tc>
        <w:tc>
          <w:tcPr>
            <w:tcW w:w="1250" w:type="dxa"/>
            <w:shd w:val="clear" w:color="auto" w:fill="auto"/>
            <w:vAlign w:val="center"/>
          </w:tcPr>
          <w:p w14:paraId="1275FDAF">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重点农业项目产业配套</w:t>
            </w:r>
          </w:p>
        </w:tc>
        <w:tc>
          <w:tcPr>
            <w:tcW w:w="1139" w:type="dxa"/>
            <w:shd w:val="clear" w:color="auto" w:fill="auto"/>
            <w:vAlign w:val="center"/>
          </w:tcPr>
          <w:p w14:paraId="0FB10CD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lang w:eastAsia="zh-CN"/>
              </w:rPr>
              <w:t>安康市</w:t>
            </w:r>
          </w:p>
        </w:tc>
        <w:tc>
          <w:tcPr>
            <w:tcW w:w="8355" w:type="dxa"/>
            <w:shd w:val="clear" w:color="auto" w:fill="auto"/>
            <w:vAlign w:val="center"/>
          </w:tcPr>
          <w:p w14:paraId="544C8B85">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40000立方冷藏库</w:t>
            </w:r>
          </w:p>
        </w:tc>
        <w:tc>
          <w:tcPr>
            <w:tcW w:w="1575" w:type="dxa"/>
            <w:shd w:val="clear" w:color="auto" w:fill="auto"/>
            <w:vAlign w:val="center"/>
          </w:tcPr>
          <w:p w14:paraId="0FF13DC2">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多元化合作</w:t>
            </w:r>
          </w:p>
        </w:tc>
        <w:tc>
          <w:tcPr>
            <w:tcW w:w="1665" w:type="dxa"/>
            <w:shd w:val="clear" w:color="auto" w:fill="auto"/>
            <w:vAlign w:val="center"/>
          </w:tcPr>
          <w:p w14:paraId="1EB22519">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p>
        </w:tc>
        <w:tc>
          <w:tcPr>
            <w:tcW w:w="960" w:type="dxa"/>
            <w:shd w:val="clear" w:color="auto" w:fill="auto"/>
            <w:vAlign w:val="center"/>
          </w:tcPr>
          <w:p w14:paraId="4FCCC65E">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rPr>
              <w:t>汪轩</w:t>
            </w:r>
          </w:p>
        </w:tc>
        <w:tc>
          <w:tcPr>
            <w:tcW w:w="1245" w:type="dxa"/>
            <w:shd w:val="clear" w:color="auto" w:fill="auto"/>
            <w:vAlign w:val="center"/>
          </w:tcPr>
          <w:p w14:paraId="40F1F5B3">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rPr>
              <w:t>总经理</w:t>
            </w:r>
          </w:p>
        </w:tc>
        <w:tc>
          <w:tcPr>
            <w:tcW w:w="1935" w:type="dxa"/>
            <w:shd w:val="clear" w:color="auto" w:fill="auto"/>
            <w:vAlign w:val="center"/>
          </w:tcPr>
          <w:p w14:paraId="58F0F163">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rPr>
              <w:t>13379350767</w:t>
            </w:r>
          </w:p>
        </w:tc>
      </w:tr>
      <w:tr w14:paraId="0E5B9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85" w:type="dxa"/>
            <w:vAlign w:val="center"/>
          </w:tcPr>
          <w:p w14:paraId="4147DB19">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1399" w:type="dxa"/>
            <w:vAlign w:val="center"/>
          </w:tcPr>
          <w:p w14:paraId="71993980">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安康市汉滨区硒湖茶业有限公司</w:t>
            </w:r>
          </w:p>
        </w:tc>
        <w:tc>
          <w:tcPr>
            <w:tcW w:w="1399" w:type="dxa"/>
            <w:vAlign w:val="center"/>
          </w:tcPr>
          <w:p w14:paraId="6FED23F9">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陕茶颗粒红</w:t>
            </w:r>
          </w:p>
        </w:tc>
        <w:tc>
          <w:tcPr>
            <w:tcW w:w="1250" w:type="dxa"/>
            <w:vAlign w:val="center"/>
          </w:tcPr>
          <w:p w14:paraId="4CFF34C4">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科技成果转化</w:t>
            </w:r>
            <w:r>
              <w:rPr>
                <w:rFonts w:hint="eastAsia" w:ascii="仿宋" w:hAnsi="仿宋" w:eastAsia="仿宋" w:cs="仿宋"/>
                <w:sz w:val="21"/>
                <w:szCs w:val="21"/>
                <w:lang w:eastAsia="zh-CN"/>
              </w:rPr>
              <w:t>、</w:t>
            </w:r>
            <w:r>
              <w:rPr>
                <w:rFonts w:hint="eastAsia" w:ascii="仿宋" w:hAnsi="仿宋" w:eastAsia="仿宋" w:cs="仿宋"/>
                <w:sz w:val="21"/>
                <w:szCs w:val="21"/>
              </w:rPr>
              <w:t>乡村振兴</w:t>
            </w:r>
          </w:p>
        </w:tc>
        <w:tc>
          <w:tcPr>
            <w:tcW w:w="1139" w:type="dxa"/>
            <w:vAlign w:val="center"/>
          </w:tcPr>
          <w:p w14:paraId="795ED22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lang w:eastAsia="zh-CN"/>
              </w:rPr>
              <w:t>安康市</w:t>
            </w:r>
          </w:p>
        </w:tc>
        <w:tc>
          <w:tcPr>
            <w:tcW w:w="8355" w:type="dxa"/>
            <w:vAlign w:val="center"/>
          </w:tcPr>
          <w:p w14:paraId="4EEF8848">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 w:hAnsi="仿宋" w:eastAsia="仿宋" w:cs="仿宋"/>
                <w:sz w:val="21"/>
                <w:szCs w:val="21"/>
                <w:lang w:eastAsia="zh-CN"/>
              </w:rPr>
            </w:pPr>
            <w:r>
              <w:rPr>
                <w:rFonts w:hint="eastAsia" w:ascii="仿宋" w:hAnsi="仿宋" w:eastAsia="仿宋" w:cs="仿宋"/>
                <w:sz w:val="21"/>
                <w:szCs w:val="21"/>
              </w:rPr>
              <w:t>项目采用夏秋茶修剪茶树粗老枝条，按红茶加工工艺，以“降本增效、资源利用、拓宽市场”为核心，利用夏秋茶修剪粗老枝条生产颗粒红的创新产品，通过机械化修剪收集夏秋茶废弃原料，替代传统人工采摘原料，降低生产成本</w:t>
            </w:r>
            <w:r>
              <w:rPr>
                <w:rFonts w:hint="eastAsia" w:ascii="仿宋" w:hAnsi="仿宋" w:eastAsia="仿宋" w:cs="仿宋"/>
                <w:sz w:val="21"/>
                <w:szCs w:val="21"/>
                <w:lang w:eastAsia="zh-CN"/>
              </w:rPr>
              <w:t>、</w:t>
            </w:r>
            <w:r>
              <w:rPr>
                <w:rFonts w:hint="eastAsia" w:ascii="仿宋" w:hAnsi="仿宋" w:eastAsia="仿宋" w:cs="仿宋"/>
                <w:sz w:val="21"/>
                <w:szCs w:val="21"/>
              </w:rPr>
              <w:t>确保口感滋味</w:t>
            </w:r>
            <w:r>
              <w:rPr>
                <w:rFonts w:hint="eastAsia" w:ascii="仿宋" w:hAnsi="仿宋" w:eastAsia="仿宋" w:cs="仿宋"/>
                <w:sz w:val="21"/>
                <w:szCs w:val="21"/>
                <w:lang w:eastAsia="zh-CN"/>
              </w:rPr>
              <w:t>，提高</w:t>
            </w:r>
            <w:r>
              <w:rPr>
                <w:rFonts w:hint="eastAsia" w:ascii="仿宋" w:hAnsi="仿宋" w:eastAsia="仿宋" w:cs="仿宋"/>
                <w:sz w:val="21"/>
                <w:szCs w:val="21"/>
              </w:rPr>
              <w:t>转化利用</w:t>
            </w:r>
            <w:r>
              <w:rPr>
                <w:rFonts w:hint="eastAsia" w:ascii="仿宋" w:hAnsi="仿宋" w:eastAsia="仿宋" w:cs="仿宋"/>
                <w:sz w:val="21"/>
                <w:szCs w:val="21"/>
                <w:lang w:eastAsia="zh-CN"/>
              </w:rPr>
              <w:t>率。</w:t>
            </w:r>
          </w:p>
        </w:tc>
        <w:tc>
          <w:tcPr>
            <w:tcW w:w="1575" w:type="dxa"/>
            <w:vAlign w:val="center"/>
          </w:tcPr>
          <w:p w14:paraId="170371A9">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招商引资</w:t>
            </w:r>
          </w:p>
        </w:tc>
        <w:tc>
          <w:tcPr>
            <w:tcW w:w="1665" w:type="dxa"/>
            <w:vAlign w:val="center"/>
          </w:tcPr>
          <w:p w14:paraId="3744B980">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1300</w:t>
            </w:r>
          </w:p>
        </w:tc>
        <w:tc>
          <w:tcPr>
            <w:tcW w:w="960" w:type="dxa"/>
            <w:vAlign w:val="center"/>
          </w:tcPr>
          <w:p w14:paraId="717EC740">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王春久</w:t>
            </w:r>
          </w:p>
        </w:tc>
        <w:tc>
          <w:tcPr>
            <w:tcW w:w="1245" w:type="dxa"/>
            <w:vAlign w:val="center"/>
          </w:tcPr>
          <w:p w14:paraId="0C6840FA">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总经理</w:t>
            </w:r>
          </w:p>
        </w:tc>
        <w:tc>
          <w:tcPr>
            <w:tcW w:w="1935" w:type="dxa"/>
            <w:vAlign w:val="center"/>
          </w:tcPr>
          <w:p w14:paraId="117323E3">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15389502785</w:t>
            </w:r>
          </w:p>
        </w:tc>
      </w:tr>
      <w:tr w14:paraId="3A730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585" w:type="dxa"/>
            <w:vAlign w:val="center"/>
          </w:tcPr>
          <w:p w14:paraId="1F6AF855">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1399" w:type="dxa"/>
            <w:vAlign w:val="center"/>
          </w:tcPr>
          <w:p w14:paraId="238630F5">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安康龙王泉富硒矿泉水有限公司</w:t>
            </w:r>
          </w:p>
        </w:tc>
        <w:tc>
          <w:tcPr>
            <w:tcW w:w="1399" w:type="dxa"/>
            <w:vAlign w:val="center"/>
          </w:tcPr>
          <w:p w14:paraId="19673BEA">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年产30万吨龙王泉富硒水建设项目</w:t>
            </w:r>
          </w:p>
        </w:tc>
        <w:tc>
          <w:tcPr>
            <w:tcW w:w="1250" w:type="dxa"/>
            <w:vAlign w:val="center"/>
          </w:tcPr>
          <w:p w14:paraId="06F005CE">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科技成果</w:t>
            </w:r>
          </w:p>
          <w:p w14:paraId="444040DA">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转化</w:t>
            </w:r>
          </w:p>
        </w:tc>
        <w:tc>
          <w:tcPr>
            <w:tcW w:w="1139" w:type="dxa"/>
            <w:vAlign w:val="center"/>
          </w:tcPr>
          <w:p w14:paraId="3D47605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lang w:eastAsia="zh-CN"/>
              </w:rPr>
              <w:t>安康市</w:t>
            </w:r>
          </w:p>
        </w:tc>
        <w:tc>
          <w:tcPr>
            <w:tcW w:w="8355" w:type="dxa"/>
            <w:vAlign w:val="center"/>
          </w:tcPr>
          <w:p w14:paraId="671C1DBB">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 w:hAnsi="仿宋" w:eastAsia="仿宋" w:cs="仿宋"/>
                <w:sz w:val="21"/>
                <w:szCs w:val="21"/>
              </w:rPr>
            </w:pPr>
            <w:r>
              <w:rPr>
                <w:rFonts w:hint="eastAsia" w:ascii="仿宋" w:hAnsi="仿宋" w:eastAsia="仿宋" w:cs="仿宋"/>
                <w:sz w:val="21"/>
                <w:szCs w:val="21"/>
              </w:rPr>
              <w:t>建设用地200亩</w:t>
            </w:r>
            <w:r>
              <w:rPr>
                <w:rFonts w:hint="eastAsia" w:ascii="仿宋" w:hAnsi="仿宋" w:eastAsia="仿宋" w:cs="仿宋"/>
                <w:sz w:val="21"/>
                <w:szCs w:val="21"/>
                <w:lang w:eastAsia="zh-CN"/>
              </w:rPr>
              <w:t>、</w:t>
            </w:r>
            <w:r>
              <w:rPr>
                <w:rFonts w:hint="eastAsia" w:ascii="仿宋" w:hAnsi="仿宋" w:eastAsia="仿宋" w:cs="仿宋"/>
                <w:sz w:val="21"/>
                <w:szCs w:val="21"/>
              </w:rPr>
              <w:t>新建年产30万吨龙王泉富硒水生产线3条，加工厂房10000平方米</w:t>
            </w:r>
            <w:r>
              <w:rPr>
                <w:rFonts w:hint="eastAsia" w:ascii="仿宋" w:hAnsi="仿宋" w:eastAsia="仿宋" w:cs="仿宋"/>
                <w:sz w:val="21"/>
                <w:szCs w:val="21"/>
                <w:lang w:eastAsia="zh-CN"/>
              </w:rPr>
              <w:t>、</w:t>
            </w:r>
            <w:r>
              <w:rPr>
                <w:rFonts w:hint="eastAsia" w:ascii="仿宋" w:hAnsi="仿宋" w:eastAsia="仿宋" w:cs="仿宋"/>
                <w:sz w:val="21"/>
                <w:szCs w:val="21"/>
              </w:rPr>
              <w:t>科研大楼3000平方米</w:t>
            </w:r>
            <w:r>
              <w:rPr>
                <w:rFonts w:hint="eastAsia" w:ascii="仿宋" w:hAnsi="仿宋" w:eastAsia="仿宋" w:cs="仿宋"/>
                <w:sz w:val="21"/>
                <w:szCs w:val="21"/>
                <w:lang w:eastAsia="zh-CN"/>
              </w:rPr>
              <w:t>、</w:t>
            </w:r>
            <w:r>
              <w:rPr>
                <w:rFonts w:hint="eastAsia" w:ascii="仿宋" w:hAnsi="仿宋" w:eastAsia="仿宋" w:cs="仿宋"/>
                <w:sz w:val="21"/>
                <w:szCs w:val="21"/>
              </w:rPr>
              <w:t>仓储用房5500平方米</w:t>
            </w:r>
            <w:r>
              <w:rPr>
                <w:rFonts w:hint="eastAsia" w:ascii="仿宋" w:hAnsi="仿宋" w:eastAsia="仿宋" w:cs="仿宋"/>
                <w:sz w:val="21"/>
                <w:szCs w:val="21"/>
                <w:lang w:eastAsia="zh-CN"/>
              </w:rPr>
              <w:t>、</w:t>
            </w:r>
            <w:r>
              <w:rPr>
                <w:rFonts w:hint="eastAsia" w:ascii="仿宋" w:hAnsi="仿宋" w:eastAsia="仿宋" w:cs="仿宋"/>
                <w:sz w:val="21"/>
                <w:szCs w:val="21"/>
              </w:rPr>
              <w:t>办公楼3000平方米</w:t>
            </w:r>
            <w:r>
              <w:rPr>
                <w:rFonts w:hint="eastAsia" w:ascii="仿宋" w:hAnsi="仿宋" w:eastAsia="仿宋" w:cs="仿宋"/>
                <w:sz w:val="21"/>
                <w:szCs w:val="21"/>
                <w:lang w:eastAsia="zh-CN"/>
              </w:rPr>
              <w:t>、</w:t>
            </w:r>
            <w:r>
              <w:rPr>
                <w:rFonts w:hint="eastAsia" w:ascii="仿宋" w:hAnsi="仿宋" w:eastAsia="仿宋" w:cs="仿宋"/>
                <w:sz w:val="21"/>
                <w:szCs w:val="21"/>
              </w:rPr>
              <w:t>生活用房3000平方米</w:t>
            </w:r>
            <w:r>
              <w:rPr>
                <w:rFonts w:hint="eastAsia" w:ascii="仿宋" w:hAnsi="仿宋" w:eastAsia="仿宋" w:cs="仿宋"/>
                <w:sz w:val="21"/>
                <w:szCs w:val="21"/>
                <w:lang w:eastAsia="zh-CN"/>
              </w:rPr>
              <w:t>、</w:t>
            </w:r>
            <w:r>
              <w:rPr>
                <w:rFonts w:hint="eastAsia" w:ascii="仿宋" w:hAnsi="仿宋" w:eastAsia="仿宋" w:cs="仿宋"/>
                <w:sz w:val="21"/>
                <w:szCs w:val="21"/>
              </w:rPr>
              <w:t>道路5000米</w:t>
            </w:r>
            <w:r>
              <w:rPr>
                <w:rFonts w:hint="eastAsia" w:ascii="仿宋" w:hAnsi="仿宋" w:eastAsia="仿宋" w:cs="仿宋"/>
                <w:sz w:val="21"/>
                <w:szCs w:val="21"/>
                <w:lang w:eastAsia="zh-CN"/>
              </w:rPr>
              <w:t>、</w:t>
            </w:r>
            <w:r>
              <w:rPr>
                <w:rFonts w:hint="eastAsia" w:ascii="仿宋" w:hAnsi="仿宋" w:eastAsia="仿宋" w:cs="仿宋"/>
                <w:sz w:val="21"/>
                <w:szCs w:val="21"/>
              </w:rPr>
              <w:t>供排水排洪7000米</w:t>
            </w:r>
            <w:r>
              <w:rPr>
                <w:rFonts w:hint="eastAsia" w:ascii="仿宋" w:hAnsi="仿宋" w:eastAsia="仿宋" w:cs="仿宋"/>
                <w:sz w:val="21"/>
                <w:szCs w:val="21"/>
                <w:lang w:eastAsia="zh-CN"/>
              </w:rPr>
              <w:t>、</w:t>
            </w:r>
            <w:r>
              <w:rPr>
                <w:rFonts w:hint="eastAsia" w:ascii="仿宋" w:hAnsi="仿宋" w:eastAsia="仿宋" w:cs="仿宋"/>
                <w:sz w:val="21"/>
                <w:szCs w:val="21"/>
              </w:rPr>
              <w:t>供电5000米，绿化5000平方米，停车场8000平方米等；《一种用于食品添加的高含硒水浓缩方法》专利成果转化，开发系列高价值富硒产品。</w:t>
            </w:r>
          </w:p>
        </w:tc>
        <w:tc>
          <w:tcPr>
            <w:tcW w:w="1575" w:type="dxa"/>
            <w:vAlign w:val="center"/>
          </w:tcPr>
          <w:p w14:paraId="25676DFB">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合作开发</w:t>
            </w:r>
          </w:p>
        </w:tc>
        <w:tc>
          <w:tcPr>
            <w:tcW w:w="1665" w:type="dxa"/>
            <w:vAlign w:val="center"/>
          </w:tcPr>
          <w:p w14:paraId="4BBF4FD3">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10000</w:t>
            </w:r>
          </w:p>
        </w:tc>
        <w:tc>
          <w:tcPr>
            <w:tcW w:w="960" w:type="dxa"/>
            <w:vAlign w:val="center"/>
          </w:tcPr>
          <w:p w14:paraId="2BCDB086">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熊剑</w:t>
            </w:r>
          </w:p>
        </w:tc>
        <w:tc>
          <w:tcPr>
            <w:tcW w:w="1245" w:type="dxa"/>
            <w:vAlign w:val="center"/>
          </w:tcPr>
          <w:p w14:paraId="44658678">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副总经理</w:t>
            </w:r>
          </w:p>
        </w:tc>
        <w:tc>
          <w:tcPr>
            <w:tcW w:w="1935" w:type="dxa"/>
            <w:vAlign w:val="center"/>
          </w:tcPr>
          <w:p w14:paraId="0BC65A41">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13509155137</w:t>
            </w:r>
          </w:p>
        </w:tc>
      </w:tr>
      <w:tr w14:paraId="7D9B0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585" w:type="dxa"/>
            <w:vAlign w:val="center"/>
          </w:tcPr>
          <w:p w14:paraId="1EE3984B">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1399" w:type="dxa"/>
            <w:shd w:val="clear" w:color="auto" w:fill="auto"/>
            <w:vAlign w:val="center"/>
          </w:tcPr>
          <w:p w14:paraId="2CCC8C15">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白河县德隆石业有限公司</w:t>
            </w:r>
          </w:p>
        </w:tc>
        <w:tc>
          <w:tcPr>
            <w:tcW w:w="1399" w:type="dxa"/>
            <w:shd w:val="clear" w:color="auto" w:fill="auto"/>
            <w:vAlign w:val="center"/>
          </w:tcPr>
          <w:p w14:paraId="1CC487AC">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石材产业</w:t>
            </w:r>
          </w:p>
        </w:tc>
        <w:tc>
          <w:tcPr>
            <w:tcW w:w="1250" w:type="dxa"/>
            <w:shd w:val="clear" w:color="auto" w:fill="auto"/>
            <w:vAlign w:val="center"/>
          </w:tcPr>
          <w:p w14:paraId="1BE38FD7">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重点产业链配套、乡村振兴</w:t>
            </w:r>
          </w:p>
        </w:tc>
        <w:tc>
          <w:tcPr>
            <w:tcW w:w="1139" w:type="dxa"/>
            <w:shd w:val="clear" w:color="auto" w:fill="auto"/>
            <w:vAlign w:val="center"/>
          </w:tcPr>
          <w:p w14:paraId="3CFFDDA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lang w:eastAsia="zh-CN"/>
              </w:rPr>
              <w:t>安康市</w:t>
            </w:r>
          </w:p>
        </w:tc>
        <w:tc>
          <w:tcPr>
            <w:tcW w:w="8355" w:type="dxa"/>
            <w:shd w:val="clear" w:color="auto" w:fill="auto"/>
            <w:vAlign w:val="center"/>
          </w:tcPr>
          <w:p w14:paraId="52F1B7A0">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rPr>
              <w:t>共同合作开发石材产</w:t>
            </w:r>
            <w:r>
              <w:rPr>
                <w:rFonts w:hint="eastAsia" w:ascii="仿宋" w:hAnsi="仿宋" w:eastAsia="仿宋" w:cs="仿宋"/>
                <w:sz w:val="21"/>
                <w:szCs w:val="21"/>
                <w:lang w:eastAsia="zh-CN"/>
              </w:rPr>
              <w:t>品</w:t>
            </w:r>
          </w:p>
        </w:tc>
        <w:tc>
          <w:tcPr>
            <w:tcW w:w="1575" w:type="dxa"/>
            <w:shd w:val="clear" w:color="auto" w:fill="auto"/>
            <w:vAlign w:val="center"/>
          </w:tcPr>
          <w:p w14:paraId="7801346C">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矿山合作开发</w:t>
            </w:r>
          </w:p>
        </w:tc>
        <w:tc>
          <w:tcPr>
            <w:tcW w:w="1665" w:type="dxa"/>
            <w:shd w:val="clear" w:color="auto" w:fill="auto"/>
            <w:vAlign w:val="center"/>
          </w:tcPr>
          <w:p w14:paraId="0C075E84">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12000</w:t>
            </w:r>
          </w:p>
        </w:tc>
        <w:tc>
          <w:tcPr>
            <w:tcW w:w="960" w:type="dxa"/>
            <w:shd w:val="clear" w:color="auto" w:fill="auto"/>
            <w:vAlign w:val="center"/>
          </w:tcPr>
          <w:p w14:paraId="68063458">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陈德胜</w:t>
            </w:r>
          </w:p>
        </w:tc>
        <w:tc>
          <w:tcPr>
            <w:tcW w:w="1245" w:type="dxa"/>
            <w:shd w:val="clear" w:color="auto" w:fill="auto"/>
            <w:vAlign w:val="center"/>
          </w:tcPr>
          <w:p w14:paraId="3A83FDAB">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总经理</w:t>
            </w:r>
          </w:p>
        </w:tc>
        <w:tc>
          <w:tcPr>
            <w:tcW w:w="1935" w:type="dxa"/>
            <w:shd w:val="clear" w:color="auto" w:fill="auto"/>
            <w:vAlign w:val="center"/>
          </w:tcPr>
          <w:p w14:paraId="2E06B995">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13619157536</w:t>
            </w:r>
          </w:p>
        </w:tc>
      </w:tr>
      <w:tr w14:paraId="5D589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585" w:type="dxa"/>
            <w:vAlign w:val="center"/>
          </w:tcPr>
          <w:p w14:paraId="70FEFEC9">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21</w:t>
            </w:r>
          </w:p>
        </w:tc>
        <w:tc>
          <w:tcPr>
            <w:tcW w:w="1399" w:type="dxa"/>
            <w:shd w:val="clear" w:color="auto" w:fill="auto"/>
            <w:vAlign w:val="center"/>
          </w:tcPr>
          <w:p w14:paraId="1559DC96">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白河县德隆石业有限公司</w:t>
            </w:r>
          </w:p>
        </w:tc>
        <w:tc>
          <w:tcPr>
            <w:tcW w:w="1399" w:type="dxa"/>
            <w:shd w:val="clear" w:color="auto" w:fill="auto"/>
            <w:vAlign w:val="center"/>
          </w:tcPr>
          <w:p w14:paraId="5B840888">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石材深加工</w:t>
            </w:r>
          </w:p>
          <w:p w14:paraId="53FC7A15">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项目</w:t>
            </w:r>
          </w:p>
        </w:tc>
        <w:tc>
          <w:tcPr>
            <w:tcW w:w="1250" w:type="dxa"/>
            <w:shd w:val="clear" w:color="auto" w:fill="auto"/>
            <w:vAlign w:val="center"/>
          </w:tcPr>
          <w:p w14:paraId="7A12BF4A">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科技成果转化、乡村振兴</w:t>
            </w:r>
          </w:p>
        </w:tc>
        <w:tc>
          <w:tcPr>
            <w:tcW w:w="1139" w:type="dxa"/>
            <w:shd w:val="clear" w:color="auto" w:fill="auto"/>
            <w:vAlign w:val="center"/>
          </w:tcPr>
          <w:p w14:paraId="6B94FCB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lang w:eastAsia="zh-CN"/>
              </w:rPr>
              <w:t>安康市</w:t>
            </w:r>
          </w:p>
        </w:tc>
        <w:tc>
          <w:tcPr>
            <w:tcW w:w="8355" w:type="dxa"/>
            <w:shd w:val="clear" w:color="auto" w:fill="auto"/>
            <w:vAlign w:val="center"/>
          </w:tcPr>
          <w:p w14:paraId="75BD32B1">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rPr>
              <w:t>建设石材深加工工厂</w:t>
            </w:r>
          </w:p>
        </w:tc>
        <w:tc>
          <w:tcPr>
            <w:tcW w:w="1575" w:type="dxa"/>
            <w:shd w:val="clear" w:color="auto" w:fill="auto"/>
            <w:vAlign w:val="center"/>
          </w:tcPr>
          <w:p w14:paraId="3E83185C">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石材深加工合作</w:t>
            </w:r>
          </w:p>
        </w:tc>
        <w:tc>
          <w:tcPr>
            <w:tcW w:w="1665" w:type="dxa"/>
            <w:shd w:val="clear" w:color="auto" w:fill="auto"/>
            <w:vAlign w:val="center"/>
          </w:tcPr>
          <w:p w14:paraId="458C07D1">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5000</w:t>
            </w:r>
          </w:p>
        </w:tc>
        <w:tc>
          <w:tcPr>
            <w:tcW w:w="960" w:type="dxa"/>
            <w:shd w:val="clear" w:color="auto" w:fill="auto"/>
            <w:vAlign w:val="center"/>
          </w:tcPr>
          <w:p w14:paraId="4313C924">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陈德胜</w:t>
            </w:r>
          </w:p>
        </w:tc>
        <w:tc>
          <w:tcPr>
            <w:tcW w:w="1245" w:type="dxa"/>
            <w:shd w:val="clear" w:color="auto" w:fill="auto"/>
            <w:vAlign w:val="center"/>
          </w:tcPr>
          <w:p w14:paraId="6212DF4D">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总经理</w:t>
            </w:r>
          </w:p>
        </w:tc>
        <w:tc>
          <w:tcPr>
            <w:tcW w:w="1935" w:type="dxa"/>
            <w:shd w:val="clear" w:color="auto" w:fill="auto"/>
            <w:vAlign w:val="center"/>
          </w:tcPr>
          <w:p w14:paraId="0FBF3847">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13619157536</w:t>
            </w:r>
          </w:p>
        </w:tc>
      </w:tr>
      <w:tr w14:paraId="05A48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585" w:type="dxa"/>
            <w:vAlign w:val="center"/>
          </w:tcPr>
          <w:p w14:paraId="11BE51A8">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22</w:t>
            </w:r>
          </w:p>
        </w:tc>
        <w:tc>
          <w:tcPr>
            <w:tcW w:w="1399" w:type="dxa"/>
            <w:vAlign w:val="center"/>
          </w:tcPr>
          <w:p w14:paraId="1AFDD49C">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陕西紫熙农业综合开发有限公司</w:t>
            </w:r>
          </w:p>
        </w:tc>
        <w:tc>
          <w:tcPr>
            <w:tcW w:w="1399" w:type="dxa"/>
            <w:vAlign w:val="center"/>
          </w:tcPr>
          <w:p w14:paraId="755D4855">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合作开发推广陕西特色白河木瓜系列产品项目</w:t>
            </w:r>
          </w:p>
        </w:tc>
        <w:tc>
          <w:tcPr>
            <w:tcW w:w="1250" w:type="dxa"/>
            <w:vAlign w:val="center"/>
          </w:tcPr>
          <w:p w14:paraId="558E334C">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科技成果转化、乡村振兴</w:t>
            </w:r>
          </w:p>
        </w:tc>
        <w:tc>
          <w:tcPr>
            <w:tcW w:w="1139" w:type="dxa"/>
            <w:vAlign w:val="center"/>
          </w:tcPr>
          <w:p w14:paraId="1A88E2A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lang w:eastAsia="zh-CN"/>
              </w:rPr>
              <w:t>安康市</w:t>
            </w:r>
          </w:p>
        </w:tc>
        <w:tc>
          <w:tcPr>
            <w:tcW w:w="8355" w:type="dxa"/>
            <w:vAlign w:val="center"/>
          </w:tcPr>
          <w:p w14:paraId="3D19CEF7">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 w:hAnsi="仿宋" w:eastAsia="仿宋" w:cs="仿宋"/>
                <w:sz w:val="21"/>
                <w:szCs w:val="21"/>
                <w:lang w:val="en-US" w:eastAsia="zh-CN"/>
              </w:rPr>
            </w:pPr>
            <w:r>
              <w:rPr>
                <w:rFonts w:hint="eastAsia" w:ascii="仿宋" w:hAnsi="仿宋" w:eastAsia="仿宋" w:cs="仿宋"/>
                <w:sz w:val="21"/>
                <w:szCs w:val="21"/>
              </w:rPr>
              <w:t>旨在联合外省在农产品营销推广、品牌建设、渠道拓展等方面具有优势的民营企业，共同推广陕西省白河县特色木瓜产品。当地木瓜种植历史悠久，依托独特的地理气候条件，所产木瓜具有口感醇厚、营养丰富（富含维生素、膳食纤维等）的特点，目前已形成一定种植规模，产品涵盖木瓜果脯、益生元木瓜纤维果饮、木瓜叶黄素酯软糖、木瓜果丹皮、木瓜糕点等多个品类</w:t>
            </w:r>
            <w:r>
              <w:rPr>
                <w:rFonts w:hint="eastAsia" w:ascii="仿宋" w:hAnsi="仿宋" w:eastAsia="仿宋" w:cs="仿宋"/>
                <w:sz w:val="21"/>
                <w:szCs w:val="21"/>
                <w:lang w:eastAsia="zh-CN"/>
              </w:rPr>
              <w:t>。</w:t>
            </w:r>
          </w:p>
        </w:tc>
        <w:tc>
          <w:tcPr>
            <w:tcW w:w="1575" w:type="dxa"/>
            <w:vAlign w:val="center"/>
          </w:tcPr>
          <w:p w14:paraId="13709F4A">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资金入股</w:t>
            </w:r>
          </w:p>
        </w:tc>
        <w:tc>
          <w:tcPr>
            <w:tcW w:w="1665" w:type="dxa"/>
            <w:vAlign w:val="center"/>
          </w:tcPr>
          <w:p w14:paraId="4972D215">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1000</w:t>
            </w:r>
          </w:p>
        </w:tc>
        <w:tc>
          <w:tcPr>
            <w:tcW w:w="960" w:type="dxa"/>
            <w:vAlign w:val="center"/>
          </w:tcPr>
          <w:p w14:paraId="5695DF14">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雷银礼</w:t>
            </w:r>
          </w:p>
        </w:tc>
        <w:tc>
          <w:tcPr>
            <w:tcW w:w="1245" w:type="dxa"/>
            <w:vAlign w:val="center"/>
          </w:tcPr>
          <w:p w14:paraId="1169A379">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总经理</w:t>
            </w:r>
          </w:p>
        </w:tc>
        <w:tc>
          <w:tcPr>
            <w:tcW w:w="1935" w:type="dxa"/>
            <w:vAlign w:val="center"/>
          </w:tcPr>
          <w:p w14:paraId="2FD97C72">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18891558188</w:t>
            </w:r>
          </w:p>
        </w:tc>
      </w:tr>
      <w:tr w14:paraId="66C99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85" w:type="dxa"/>
            <w:vAlign w:val="center"/>
          </w:tcPr>
          <w:p w14:paraId="69E9AC56">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23</w:t>
            </w:r>
          </w:p>
        </w:tc>
        <w:tc>
          <w:tcPr>
            <w:tcW w:w="1399" w:type="dxa"/>
            <w:shd w:val="clear" w:color="auto" w:fill="auto"/>
            <w:vAlign w:val="center"/>
          </w:tcPr>
          <w:p w14:paraId="11F51B33">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紫阳山水生态茶厂</w:t>
            </w:r>
          </w:p>
        </w:tc>
        <w:tc>
          <w:tcPr>
            <w:tcW w:w="1399" w:type="dxa"/>
            <w:shd w:val="clear" w:color="auto" w:fill="auto"/>
            <w:vAlign w:val="center"/>
          </w:tcPr>
          <w:p w14:paraId="54913120">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新中式茶饮</w:t>
            </w:r>
          </w:p>
        </w:tc>
        <w:tc>
          <w:tcPr>
            <w:tcW w:w="1250" w:type="dxa"/>
            <w:shd w:val="clear" w:color="auto" w:fill="auto"/>
            <w:vAlign w:val="center"/>
          </w:tcPr>
          <w:p w14:paraId="11793D71">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乡村振兴</w:t>
            </w:r>
          </w:p>
        </w:tc>
        <w:tc>
          <w:tcPr>
            <w:tcW w:w="1139" w:type="dxa"/>
            <w:shd w:val="clear" w:color="auto" w:fill="auto"/>
            <w:vAlign w:val="center"/>
          </w:tcPr>
          <w:p w14:paraId="17204A67">
            <w:pPr>
              <w:keepNext w:val="0"/>
              <w:keepLines w:val="0"/>
              <w:pageBreakBefore w:val="0"/>
              <w:wordWrap/>
              <w:overflowPunct/>
              <w:topLinePunct w:val="0"/>
              <w:bidi w:val="0"/>
              <w:spacing w:line="3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安康市</w:t>
            </w:r>
          </w:p>
        </w:tc>
        <w:tc>
          <w:tcPr>
            <w:tcW w:w="8355" w:type="dxa"/>
            <w:shd w:val="clear" w:color="auto" w:fill="auto"/>
            <w:vAlign w:val="center"/>
          </w:tcPr>
          <w:p w14:paraId="3CC13C5E">
            <w:pPr>
              <w:pStyle w:val="6"/>
              <w:keepNext w:val="0"/>
              <w:keepLines w:val="0"/>
              <w:pageBreakBefore w:val="0"/>
              <w:wordWrap/>
              <w:overflowPunct/>
              <w:topLinePunct w:val="0"/>
              <w:bidi w:val="0"/>
              <w:spacing w:line="300" w:lineRule="exact"/>
              <w:jc w:val="both"/>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紫阳山水生态茶厂计划投资 1.2 亿元，开展技术升级与市场拓展项目。依托紫阳富硒茶资源，构建萃取、发酵、抹茶、新中式茶饮四大技术体系，开发功能性茶饮等产品，通过 “百城千店计划” 拓展市场。项目预计 5 年累计净利润超 1.39 亿元，带动就业与茶农增收，推动茶产业转型，具有良好效益与可行性。</w:t>
            </w:r>
          </w:p>
        </w:tc>
        <w:tc>
          <w:tcPr>
            <w:tcW w:w="1575" w:type="dxa"/>
            <w:shd w:val="clear" w:color="auto" w:fill="auto"/>
            <w:vAlign w:val="center"/>
          </w:tcPr>
          <w:p w14:paraId="761F4686">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en-US" w:bidi="ar-SA"/>
              </w:rPr>
            </w:pPr>
          </w:p>
        </w:tc>
        <w:tc>
          <w:tcPr>
            <w:tcW w:w="1665" w:type="dxa"/>
            <w:shd w:val="clear" w:color="auto" w:fill="auto"/>
            <w:vAlign w:val="center"/>
          </w:tcPr>
          <w:p w14:paraId="2F9313DA">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en-US" w:bidi="ar-SA"/>
              </w:rPr>
            </w:pPr>
          </w:p>
        </w:tc>
        <w:tc>
          <w:tcPr>
            <w:tcW w:w="960" w:type="dxa"/>
            <w:shd w:val="clear" w:color="auto" w:fill="auto"/>
            <w:vAlign w:val="center"/>
          </w:tcPr>
          <w:p w14:paraId="3FCEDFDD">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杨锐</w:t>
            </w:r>
          </w:p>
        </w:tc>
        <w:tc>
          <w:tcPr>
            <w:tcW w:w="1245" w:type="dxa"/>
            <w:shd w:val="clear" w:color="auto" w:fill="auto"/>
            <w:vAlign w:val="center"/>
          </w:tcPr>
          <w:p w14:paraId="28134661">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总经理</w:t>
            </w:r>
          </w:p>
        </w:tc>
        <w:tc>
          <w:tcPr>
            <w:tcW w:w="1935" w:type="dxa"/>
            <w:shd w:val="clear" w:color="auto" w:fill="auto"/>
            <w:vAlign w:val="center"/>
          </w:tcPr>
          <w:p w14:paraId="2732D49F">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18802975525</w:t>
            </w:r>
          </w:p>
        </w:tc>
      </w:tr>
      <w:tr w14:paraId="03261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585" w:type="dxa"/>
            <w:vAlign w:val="center"/>
          </w:tcPr>
          <w:p w14:paraId="320C6BCC">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1399" w:type="dxa"/>
            <w:shd w:val="clear" w:color="auto" w:fill="auto"/>
            <w:vAlign w:val="center"/>
          </w:tcPr>
          <w:p w14:paraId="0893AF88">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平利县福寿园养老服务有限公司</w:t>
            </w:r>
          </w:p>
        </w:tc>
        <w:tc>
          <w:tcPr>
            <w:tcW w:w="1399" w:type="dxa"/>
            <w:shd w:val="clear" w:color="auto" w:fill="auto"/>
            <w:vAlign w:val="center"/>
          </w:tcPr>
          <w:p w14:paraId="0E2359A9">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康养</w:t>
            </w:r>
          </w:p>
        </w:tc>
        <w:tc>
          <w:tcPr>
            <w:tcW w:w="1250" w:type="dxa"/>
            <w:shd w:val="clear" w:color="auto" w:fill="auto"/>
            <w:vAlign w:val="center"/>
          </w:tcPr>
          <w:p w14:paraId="0D160936">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rPr>
              <w:t>重点产业链配套</w:t>
            </w:r>
          </w:p>
        </w:tc>
        <w:tc>
          <w:tcPr>
            <w:tcW w:w="1139" w:type="dxa"/>
            <w:shd w:val="clear" w:color="auto" w:fill="auto"/>
            <w:vAlign w:val="center"/>
          </w:tcPr>
          <w:p w14:paraId="1AB01AA2">
            <w:pPr>
              <w:keepNext w:val="0"/>
              <w:keepLines w:val="0"/>
              <w:pageBreakBefore w:val="0"/>
              <w:wordWrap/>
              <w:overflowPunct/>
              <w:topLinePunct w:val="0"/>
              <w:bidi w:val="0"/>
              <w:spacing w:line="300" w:lineRule="exact"/>
              <w:jc w:val="center"/>
              <w:rPr>
                <w:rFonts w:hint="eastAsia" w:ascii="仿宋" w:hAnsi="仿宋" w:eastAsia="仿宋" w:cs="仿宋"/>
                <w:sz w:val="21"/>
                <w:szCs w:val="21"/>
              </w:rPr>
            </w:pPr>
            <w:r>
              <w:rPr>
                <w:rFonts w:hint="eastAsia" w:ascii="仿宋" w:hAnsi="仿宋" w:eastAsia="仿宋" w:cs="仿宋"/>
                <w:sz w:val="21"/>
                <w:szCs w:val="21"/>
                <w:lang w:eastAsia="zh-CN"/>
              </w:rPr>
              <w:t>安康市</w:t>
            </w:r>
          </w:p>
        </w:tc>
        <w:tc>
          <w:tcPr>
            <w:tcW w:w="8355" w:type="dxa"/>
            <w:shd w:val="clear" w:color="auto" w:fill="auto"/>
            <w:vAlign w:val="center"/>
          </w:tcPr>
          <w:p w14:paraId="3F653B16">
            <w:pPr>
              <w:pStyle w:val="6"/>
              <w:keepNext w:val="0"/>
              <w:keepLines w:val="0"/>
              <w:pageBreakBefore w:val="0"/>
              <w:wordWrap/>
              <w:overflowPunct/>
              <w:topLinePunct w:val="0"/>
              <w:bidi w:val="0"/>
              <w:spacing w:line="300" w:lineRule="exact"/>
              <w:jc w:val="both"/>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rPr>
              <w:t>本</w:t>
            </w:r>
            <w:r>
              <w:rPr>
                <w:rFonts w:hint="eastAsia" w:ascii="仿宋" w:hAnsi="仿宋" w:eastAsia="仿宋" w:cs="仿宋"/>
                <w:sz w:val="21"/>
                <w:szCs w:val="21"/>
                <w:lang w:val="en-US" w:eastAsia="zh-CN"/>
              </w:rPr>
              <w:t>康养项目</w:t>
            </w:r>
            <w:r>
              <w:rPr>
                <w:rFonts w:hint="eastAsia" w:ascii="仿宋" w:hAnsi="仿宋" w:eastAsia="仿宋" w:cs="仿宋"/>
                <w:sz w:val="21"/>
                <w:szCs w:val="21"/>
              </w:rPr>
              <w:t>提供住宿、餐饮、健康护理等基础服务，兼顾文娱活动与心理关怀，打造温馨养老环境，满足老人生活及精神需求。</w:t>
            </w:r>
          </w:p>
        </w:tc>
        <w:tc>
          <w:tcPr>
            <w:tcW w:w="1575" w:type="dxa"/>
            <w:shd w:val="clear" w:color="auto" w:fill="auto"/>
            <w:vAlign w:val="center"/>
          </w:tcPr>
          <w:p w14:paraId="17F839D5">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lang w:val="en-US" w:eastAsia="zh-CN"/>
              </w:rPr>
              <w:t>共同投资</w:t>
            </w:r>
          </w:p>
        </w:tc>
        <w:tc>
          <w:tcPr>
            <w:tcW w:w="1665" w:type="dxa"/>
            <w:shd w:val="clear" w:color="auto" w:fill="auto"/>
            <w:vAlign w:val="center"/>
          </w:tcPr>
          <w:p w14:paraId="10416CE7">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lang w:val="en-US" w:eastAsia="zh-CN"/>
              </w:rPr>
              <w:t>500</w:t>
            </w:r>
          </w:p>
        </w:tc>
        <w:tc>
          <w:tcPr>
            <w:tcW w:w="960" w:type="dxa"/>
            <w:shd w:val="clear" w:color="auto" w:fill="auto"/>
            <w:vAlign w:val="center"/>
          </w:tcPr>
          <w:p w14:paraId="3AA55200">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徐信安</w:t>
            </w:r>
          </w:p>
        </w:tc>
        <w:tc>
          <w:tcPr>
            <w:tcW w:w="1245" w:type="dxa"/>
            <w:shd w:val="clear" w:color="auto" w:fill="auto"/>
            <w:vAlign w:val="center"/>
          </w:tcPr>
          <w:p w14:paraId="5E66DAB2">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法人代表</w:t>
            </w:r>
          </w:p>
        </w:tc>
        <w:tc>
          <w:tcPr>
            <w:tcW w:w="1935" w:type="dxa"/>
            <w:shd w:val="clear" w:color="auto" w:fill="auto"/>
            <w:vAlign w:val="center"/>
          </w:tcPr>
          <w:p w14:paraId="4B71CDEC">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19909152990</w:t>
            </w:r>
          </w:p>
        </w:tc>
      </w:tr>
      <w:tr w14:paraId="19EF1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585" w:type="dxa"/>
            <w:vAlign w:val="center"/>
          </w:tcPr>
          <w:p w14:paraId="733A722F">
            <w:pPr>
              <w:pStyle w:val="6"/>
              <w:keepNext w:val="0"/>
              <w:keepLines w:val="0"/>
              <w:pageBreakBefore w:val="0"/>
              <w:wordWrap/>
              <w:overflowPunct/>
              <w:topLinePunct w:val="0"/>
              <w:bidi w:val="0"/>
              <w:spacing w:line="3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1399" w:type="dxa"/>
            <w:shd w:val="clear" w:color="auto" w:fill="auto"/>
            <w:vAlign w:val="center"/>
          </w:tcPr>
          <w:p w14:paraId="35BE592F">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陕西天宇润泽生态农业有限责任公司</w:t>
            </w:r>
          </w:p>
        </w:tc>
        <w:tc>
          <w:tcPr>
            <w:tcW w:w="1399" w:type="dxa"/>
            <w:shd w:val="clear" w:color="auto" w:fill="auto"/>
            <w:vAlign w:val="center"/>
          </w:tcPr>
          <w:p w14:paraId="3BF4842E">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秦岭药膳养生谷项目</w:t>
            </w:r>
          </w:p>
        </w:tc>
        <w:tc>
          <w:tcPr>
            <w:tcW w:w="1250" w:type="dxa"/>
            <w:shd w:val="clear" w:color="auto" w:fill="auto"/>
            <w:vAlign w:val="center"/>
          </w:tcPr>
          <w:p w14:paraId="087D71D3">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重点产业链配套</w:t>
            </w:r>
          </w:p>
        </w:tc>
        <w:tc>
          <w:tcPr>
            <w:tcW w:w="1139" w:type="dxa"/>
            <w:shd w:val="clear" w:color="auto" w:fill="auto"/>
            <w:vAlign w:val="center"/>
          </w:tcPr>
          <w:p w14:paraId="1717EA95">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商洛市</w:t>
            </w:r>
          </w:p>
        </w:tc>
        <w:tc>
          <w:tcPr>
            <w:tcW w:w="8355" w:type="dxa"/>
            <w:shd w:val="clear" w:color="auto" w:fill="auto"/>
            <w:vAlign w:val="center"/>
          </w:tcPr>
          <w:p w14:paraId="2B74FDC5">
            <w:pPr>
              <w:pStyle w:val="6"/>
              <w:keepNext w:val="0"/>
              <w:keepLines w:val="0"/>
              <w:pageBreakBefore w:val="0"/>
              <w:wordWrap/>
              <w:overflowPunct/>
              <w:topLinePunct w:val="0"/>
              <w:bidi w:val="0"/>
              <w:spacing w:line="300" w:lineRule="exact"/>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秦岭药膳养生谷项目位于陕西省商洛市丹凤县棣花镇许家塬村，规划面积1400亩，总投资6亿元，建设周期5年，旨在打造集种植、加工、文旅、康养、研学于一体的综合性产业项目。项目涵盖秦药数字化种植园、膳食动物养殖园、生态水产养殖区、秦岭药膳深加工产业园、古法酿酒产业园等核心区项目并研发生产草本酒、核桃养生产品、农产品、养生工艺品等系列产品，以及秦岭药膳康养文化综合体、神农学堂秦岭培训中心、康养民宿集群、中药材旅游康养示范基地、户外运动休闲营地等文旅康养项目。同时，将实施社会化服务、食材认证，还将在国内外主要城市建设品牌营销服务中心和连锁馆，拓展市场影响力。</w:t>
            </w:r>
          </w:p>
          <w:p w14:paraId="480BCD4C">
            <w:pPr>
              <w:pStyle w:val="6"/>
              <w:keepNext w:val="0"/>
              <w:keepLines w:val="0"/>
              <w:pageBreakBefore w:val="0"/>
              <w:wordWrap/>
              <w:overflowPunct/>
              <w:topLinePunct w:val="0"/>
              <w:bidi w:val="0"/>
              <w:spacing w:line="300" w:lineRule="exact"/>
              <w:jc w:val="both"/>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项目依托商洛市丰富的药食同源资源和产业基础，通过构建“药-膳-养-游”全产业链，实现秦药种植、深加工、康养服务、文化旅游深度融合。项目建成后，预计年产值达6.5亿元，年利润1亿元，纳税2500万元，直接带动就业1000人，间接带动就业3000人，对地方经济发展和乡村振兴将起到积极的推动作用。项目具备广阔的发展前景和显著的经济社会效益，具有较高的可行性和投资价值。</w:t>
            </w:r>
          </w:p>
        </w:tc>
        <w:tc>
          <w:tcPr>
            <w:tcW w:w="1575" w:type="dxa"/>
            <w:shd w:val="clear" w:color="auto" w:fill="auto"/>
            <w:vAlign w:val="center"/>
          </w:tcPr>
          <w:p w14:paraId="1F31A745">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共建合作、股份融资、债权融资、产业基金</w:t>
            </w:r>
          </w:p>
        </w:tc>
        <w:tc>
          <w:tcPr>
            <w:tcW w:w="1665" w:type="dxa"/>
            <w:shd w:val="clear" w:color="auto" w:fill="auto"/>
            <w:vAlign w:val="center"/>
          </w:tcPr>
          <w:p w14:paraId="53ACFC02">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60000万元</w:t>
            </w:r>
          </w:p>
        </w:tc>
        <w:tc>
          <w:tcPr>
            <w:tcW w:w="960" w:type="dxa"/>
            <w:shd w:val="clear" w:color="auto" w:fill="auto"/>
            <w:vAlign w:val="center"/>
          </w:tcPr>
          <w:p w14:paraId="460EDFF0">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王晓勇</w:t>
            </w:r>
          </w:p>
        </w:tc>
        <w:tc>
          <w:tcPr>
            <w:tcW w:w="1245" w:type="dxa"/>
            <w:shd w:val="clear" w:color="auto" w:fill="auto"/>
            <w:vAlign w:val="center"/>
          </w:tcPr>
          <w:p w14:paraId="7F114DBB">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董事长</w:t>
            </w:r>
          </w:p>
        </w:tc>
        <w:tc>
          <w:tcPr>
            <w:tcW w:w="1935" w:type="dxa"/>
            <w:shd w:val="clear" w:color="auto" w:fill="auto"/>
            <w:vAlign w:val="center"/>
          </w:tcPr>
          <w:p w14:paraId="069537F4">
            <w:pPr>
              <w:pStyle w:val="6"/>
              <w:keepNext w:val="0"/>
              <w:keepLines w:val="0"/>
              <w:pageBreakBefore w:val="0"/>
              <w:wordWrap/>
              <w:overflowPunct/>
              <w:topLinePunct w:val="0"/>
              <w:bidi w:val="0"/>
              <w:spacing w:line="3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18049146678</w:t>
            </w:r>
          </w:p>
        </w:tc>
      </w:tr>
      <w:tr w14:paraId="32A4A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585" w:type="dxa"/>
            <w:vAlign w:val="center"/>
          </w:tcPr>
          <w:p w14:paraId="680C050C">
            <w:pPr>
              <w:pStyle w:val="6"/>
              <w:keepNext w:val="0"/>
              <w:keepLines w:val="0"/>
              <w:pageBreakBefore w:val="0"/>
              <w:wordWrap/>
              <w:overflowPunct/>
              <w:topLinePunct w:val="0"/>
              <w:bidi w:val="0"/>
              <w:spacing w:line="3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26</w:t>
            </w:r>
          </w:p>
        </w:tc>
        <w:tc>
          <w:tcPr>
            <w:tcW w:w="1399" w:type="dxa"/>
            <w:shd w:val="clear" w:color="auto" w:fill="auto"/>
            <w:vAlign w:val="center"/>
          </w:tcPr>
          <w:p w14:paraId="329E5D25">
            <w:pPr>
              <w:pStyle w:val="6"/>
              <w:keepNext w:val="0"/>
              <w:keepLines w:val="0"/>
              <w:pageBreakBefore w:val="0"/>
              <w:wordWrap/>
              <w:overflowPunct/>
              <w:topLinePunct w:val="0"/>
              <w:bidi w:val="0"/>
              <w:spacing w:line="3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西部农业（陕西）运营管理有限公司</w:t>
            </w:r>
          </w:p>
        </w:tc>
        <w:tc>
          <w:tcPr>
            <w:tcW w:w="1399" w:type="dxa"/>
            <w:shd w:val="clear" w:color="auto" w:fill="auto"/>
            <w:vAlign w:val="center"/>
          </w:tcPr>
          <w:p w14:paraId="1E8E02D7">
            <w:pPr>
              <w:pStyle w:val="6"/>
              <w:keepNext w:val="0"/>
              <w:keepLines w:val="0"/>
              <w:pageBreakBefore w:val="0"/>
              <w:wordWrap/>
              <w:overflowPunct/>
              <w:topLinePunct w:val="0"/>
              <w:bidi w:val="0"/>
              <w:spacing w:line="3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西部食用菌交易交流中心</w:t>
            </w:r>
          </w:p>
        </w:tc>
        <w:tc>
          <w:tcPr>
            <w:tcW w:w="1250" w:type="dxa"/>
            <w:shd w:val="clear" w:color="auto" w:fill="auto"/>
            <w:vAlign w:val="center"/>
          </w:tcPr>
          <w:p w14:paraId="7898C69B">
            <w:pPr>
              <w:pStyle w:val="6"/>
              <w:keepNext w:val="0"/>
              <w:keepLines w:val="0"/>
              <w:pageBreakBefore w:val="0"/>
              <w:wordWrap/>
              <w:overflowPunct/>
              <w:topLinePunct w:val="0"/>
              <w:bidi w:val="0"/>
              <w:spacing w:line="3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重点产业链配套、乡村振兴</w:t>
            </w:r>
          </w:p>
        </w:tc>
        <w:tc>
          <w:tcPr>
            <w:tcW w:w="1139" w:type="dxa"/>
            <w:shd w:val="clear" w:color="auto" w:fill="auto"/>
            <w:vAlign w:val="center"/>
          </w:tcPr>
          <w:p w14:paraId="5E7B4223">
            <w:pPr>
              <w:pStyle w:val="6"/>
              <w:keepNext w:val="0"/>
              <w:keepLines w:val="0"/>
              <w:pageBreakBefore w:val="0"/>
              <w:wordWrap/>
              <w:overflowPunct/>
              <w:topLinePunct w:val="0"/>
              <w:bidi w:val="0"/>
              <w:spacing w:line="3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商洛市</w:t>
            </w:r>
          </w:p>
        </w:tc>
        <w:tc>
          <w:tcPr>
            <w:tcW w:w="8355" w:type="dxa"/>
            <w:shd w:val="clear" w:color="auto" w:fill="auto"/>
            <w:vAlign w:val="center"/>
          </w:tcPr>
          <w:p w14:paraId="0957811E">
            <w:pPr>
              <w:pStyle w:val="6"/>
              <w:keepNext w:val="0"/>
              <w:keepLines w:val="0"/>
              <w:pageBreakBefore w:val="0"/>
              <w:wordWrap/>
              <w:overflowPunct/>
              <w:topLinePunct w:val="0"/>
              <w:bidi w:val="0"/>
              <w:spacing w:line="300" w:lineRule="exact"/>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通过产业聚集，产业链整合，线上线下齐发力，将西部食用菌交易交流中心建设成为全国有影响力的食用菌交易市场之一。</w:t>
            </w:r>
          </w:p>
        </w:tc>
        <w:tc>
          <w:tcPr>
            <w:tcW w:w="1575" w:type="dxa"/>
            <w:shd w:val="clear" w:color="auto" w:fill="auto"/>
            <w:vAlign w:val="center"/>
          </w:tcPr>
          <w:p w14:paraId="6065E9F1">
            <w:pPr>
              <w:pStyle w:val="6"/>
              <w:keepNext w:val="0"/>
              <w:keepLines w:val="0"/>
              <w:pageBreakBefore w:val="0"/>
              <w:wordWrap/>
              <w:overflowPunct/>
              <w:topLinePunct w:val="0"/>
              <w:bidi w:val="0"/>
              <w:spacing w:line="3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资源互补，线上流量与线下渠道共同转化开发</w:t>
            </w:r>
          </w:p>
        </w:tc>
        <w:tc>
          <w:tcPr>
            <w:tcW w:w="1665" w:type="dxa"/>
            <w:shd w:val="clear" w:color="auto" w:fill="auto"/>
            <w:vAlign w:val="center"/>
          </w:tcPr>
          <w:p w14:paraId="36DB96E1">
            <w:pPr>
              <w:pStyle w:val="6"/>
              <w:keepNext w:val="0"/>
              <w:keepLines w:val="0"/>
              <w:pageBreakBefore w:val="0"/>
              <w:wordWrap/>
              <w:overflowPunct/>
              <w:topLinePunct w:val="0"/>
              <w:bidi w:val="0"/>
              <w:spacing w:line="3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具体详谈</w:t>
            </w:r>
          </w:p>
        </w:tc>
        <w:tc>
          <w:tcPr>
            <w:tcW w:w="960" w:type="dxa"/>
            <w:shd w:val="clear" w:color="auto" w:fill="auto"/>
            <w:vAlign w:val="center"/>
          </w:tcPr>
          <w:p w14:paraId="0170DB9D">
            <w:pPr>
              <w:pStyle w:val="6"/>
              <w:keepNext w:val="0"/>
              <w:keepLines w:val="0"/>
              <w:pageBreakBefore w:val="0"/>
              <w:wordWrap/>
              <w:overflowPunct/>
              <w:topLinePunct w:val="0"/>
              <w:bidi w:val="0"/>
              <w:spacing w:line="3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蔡济嵘</w:t>
            </w:r>
          </w:p>
        </w:tc>
        <w:tc>
          <w:tcPr>
            <w:tcW w:w="1245" w:type="dxa"/>
            <w:shd w:val="clear" w:color="auto" w:fill="auto"/>
            <w:vAlign w:val="center"/>
          </w:tcPr>
          <w:p w14:paraId="68D05B6A">
            <w:pPr>
              <w:pStyle w:val="6"/>
              <w:keepNext w:val="0"/>
              <w:keepLines w:val="0"/>
              <w:pageBreakBefore w:val="0"/>
              <w:wordWrap/>
              <w:overflowPunct/>
              <w:topLinePunct w:val="0"/>
              <w:bidi w:val="0"/>
              <w:spacing w:line="3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总经理</w:t>
            </w:r>
          </w:p>
        </w:tc>
        <w:tc>
          <w:tcPr>
            <w:tcW w:w="1935" w:type="dxa"/>
            <w:shd w:val="clear" w:color="auto" w:fill="auto"/>
            <w:vAlign w:val="center"/>
          </w:tcPr>
          <w:p w14:paraId="195D34FE">
            <w:pPr>
              <w:pStyle w:val="6"/>
              <w:keepNext w:val="0"/>
              <w:keepLines w:val="0"/>
              <w:pageBreakBefore w:val="0"/>
              <w:wordWrap/>
              <w:overflowPunct/>
              <w:topLinePunct w:val="0"/>
              <w:bidi w:val="0"/>
              <w:spacing w:line="3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15691664567</w:t>
            </w:r>
          </w:p>
        </w:tc>
      </w:tr>
    </w:tbl>
    <w:p w14:paraId="59CAB3DA">
      <w:pPr>
        <w:pStyle w:val="6"/>
        <w:keepNext w:val="0"/>
        <w:keepLines w:val="0"/>
        <w:pageBreakBefore w:val="0"/>
        <w:wordWrap/>
        <w:overflowPunct/>
        <w:topLinePunct w:val="0"/>
        <w:bidi w:val="0"/>
        <w:spacing w:line="300" w:lineRule="exact"/>
        <w:jc w:val="center"/>
        <w:rPr>
          <w:rFonts w:hint="eastAsia" w:ascii="仿宋" w:hAnsi="仿宋" w:eastAsia="仿宋" w:cs="仿宋"/>
          <w:sz w:val="21"/>
          <w:szCs w:val="21"/>
          <w:lang w:val="en-US" w:eastAsia="zh-CN"/>
        </w:rPr>
      </w:pPr>
    </w:p>
    <w:sectPr>
      <w:pgSz w:w="23811" w:h="16838" w:orient="landscape"/>
      <w:pgMar w:top="992" w:right="1134" w:bottom="850" w:left="1134"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ECCBE2D"/>
    <w:rsid w:val="10456D55"/>
    <w:rsid w:val="1F796C59"/>
    <w:rsid w:val="1FDFE57F"/>
    <w:rsid w:val="26EF315D"/>
    <w:rsid w:val="2FFE3C2C"/>
    <w:rsid w:val="36FFE7A0"/>
    <w:rsid w:val="3D6F2E2C"/>
    <w:rsid w:val="3FDF905E"/>
    <w:rsid w:val="3FFFCC46"/>
    <w:rsid w:val="46C54C08"/>
    <w:rsid w:val="473DDA2E"/>
    <w:rsid w:val="521EE62D"/>
    <w:rsid w:val="56DA9267"/>
    <w:rsid w:val="5BFFB836"/>
    <w:rsid w:val="5D874CC4"/>
    <w:rsid w:val="5F3729D3"/>
    <w:rsid w:val="5FAFA81D"/>
    <w:rsid w:val="63C24E54"/>
    <w:rsid w:val="6B7B3301"/>
    <w:rsid w:val="6D5F778C"/>
    <w:rsid w:val="73FFE931"/>
    <w:rsid w:val="7777E11F"/>
    <w:rsid w:val="7B73D7E2"/>
    <w:rsid w:val="7C5F1BD4"/>
    <w:rsid w:val="7E63B420"/>
    <w:rsid w:val="7EDE82F9"/>
    <w:rsid w:val="7FECFD81"/>
    <w:rsid w:val="9F353380"/>
    <w:rsid w:val="9FFFACA7"/>
    <w:rsid w:val="ABEF05EE"/>
    <w:rsid w:val="B9FF3757"/>
    <w:rsid w:val="BFFF5D83"/>
    <w:rsid w:val="C7FB4323"/>
    <w:rsid w:val="DCAFDB9C"/>
    <w:rsid w:val="DEB6ED7C"/>
    <w:rsid w:val="EFFB7098"/>
    <w:rsid w:val="F56BA8FA"/>
    <w:rsid w:val="F6EEB1B1"/>
    <w:rsid w:val="F77B5F1E"/>
    <w:rsid w:val="F7B6B411"/>
    <w:rsid w:val="F7EFA1C1"/>
    <w:rsid w:val="F9F736F8"/>
    <w:rsid w:val="FBDFBBAD"/>
    <w:rsid w:val="FF3EB1D9"/>
    <w:rsid w:val="FFA1DC9D"/>
    <w:rsid w:val="FFBDDC46"/>
    <w:rsid w:val="FFF7BCB4"/>
    <w:rsid w:val="FFFA0FE0"/>
    <w:rsid w:val="FFFC0609"/>
    <w:rsid w:val="FFFEAF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qFormat/>
    <w:uiPriority w:val="0"/>
    <w:tblPr>
      <w:tblCellMar>
        <w:top w:w="0" w:type="dxa"/>
        <w:left w:w="0" w:type="dxa"/>
        <w:bottom w:w="0" w:type="dxa"/>
        <w:right w:w="0" w:type="dxa"/>
      </w:tblCellMar>
    </w:tblPr>
  </w:style>
  <w:style w:type="paragraph" w:customStyle="1" w:styleId="6">
    <w:name w:val="Table Text"/>
    <w:basedOn w:val="1"/>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2992</Words>
  <Characters>3348</Characters>
  <Paragraphs>89</Paragraphs>
  <TotalTime>9</TotalTime>
  <ScaleCrop>false</ScaleCrop>
  <LinksUpToDate>false</LinksUpToDate>
  <CharactersWithSpaces>3377</CharactersWithSpaces>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2025-05-02T07:55:00Z</dcterms:created>
  <dc:creator>WPS Office</dc:creator>
  <cp:lastModifiedBy>guest</cp:lastModifiedBy>
  <cp:lastPrinted>2025-08-23T23:50:00Z</cp:lastPrinted>
  <dcterms:modified xsi:type="dcterms:W3CDTF">2025-09-01T16:52:42Z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UsrData">
    <vt:lpwstr>6810860930e71100214f6ac0wl</vt:lpwstr>
  </property>
  <property fmtid="{D5CDD505-2E9C-101B-9397-08002B2CF9AE}" pid="4" name="ICV">
    <vt:lpwstr>ab8f6c9581064c2191604435bf1c95c9_23</vt:lpwstr>
  </property>
  <property fmtid="{D5CDD505-2E9C-101B-9397-08002B2CF9AE}" pid="5" name="KSOProductBuildVer">
    <vt:lpwstr>2052-12.8.2.1119</vt:lpwstr>
  </property>
  <property fmtid="{D5CDD505-2E9C-101B-9397-08002B2CF9AE}" pid="6" name="KSOTemplateDocerSaveRecord">
    <vt:lpwstr>eyJoZGlkIjoiMGM4NjNhYWZjMzgxZjgwZGQ0OTRhMDcyYzA1MWQ4MmMifQ==</vt:lpwstr>
  </property>
</Properties>
</file>